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US</w:t>
      </w:r>
      <w:proofErr w:type="gramEnd"/>
      <w:r w:rsidRPr="000E64B7">
        <w:rPr>
          <w:rFonts w:ascii="Times New Roman" w:eastAsia="Times New Roman" w:hAnsi="Times New Roman" w:cs="Times New Roman"/>
          <w:b/>
          <w:bCs/>
          <w:kern w:val="0"/>
          <w14:ligatures w14:val="none"/>
        </w:rPr>
        <w:t xml:space="preserve"> biosimilars:</w:t>
      </w:r>
      <w:r w:rsidRPr="000E64B7">
        <w:rPr>
          <w:rFonts w:ascii="Times New Roman" w:eastAsia="Times New Roman" w:hAnsi="Times New Roman" w:cs="Times New Roman"/>
          <w:kern w:val="0"/>
          <w14:ligatures w14:val="none"/>
        </w:rPr>
        <w:t xml:space="preserve"> DRL’s platform gained credibility with US approval of rituximab biosimilar </w:t>
      </w:r>
      <w:proofErr w:type="spellStart"/>
      <w:r w:rsidRPr="000E64B7">
        <w:rPr>
          <w:rFonts w:ascii="Times New Roman" w:eastAsia="Times New Roman" w:hAnsi="Times New Roman" w:cs="Times New Roman"/>
          <w:kern w:val="0"/>
          <w14:ligatures w14:val="none"/>
        </w:rPr>
        <w:t>Zimrixby</w:t>
      </w:r>
      <w:proofErr w:type="spellEnd"/>
      <w:r w:rsidRPr="000E64B7">
        <w:rPr>
          <w:rFonts w:ascii="Times New Roman" w:eastAsia="Times New Roman" w:hAnsi="Times New Roman" w:cs="Times New Roman"/>
          <w:kern w:val="0"/>
          <w14:ligatures w14:val="none"/>
        </w:rPr>
        <w:t xml:space="preserve"> in July 2026. The next major assets are abatacept, denosumab and daratumumab. </w:t>
      </w: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Abatacept</w:t>
      </w:r>
      <w:proofErr w:type="gramEnd"/>
      <w:r w:rsidRPr="000E64B7">
        <w:rPr>
          <w:rFonts w:ascii="Times New Roman" w:eastAsia="Times New Roman" w:hAnsi="Times New Roman" w:cs="Times New Roman"/>
          <w:b/>
          <w:bCs/>
          <w:kern w:val="0"/>
          <w14:ligatures w14:val="none"/>
        </w:rPr>
        <w:t>:</w:t>
      </w:r>
      <w:r w:rsidRPr="000E64B7">
        <w:rPr>
          <w:rFonts w:ascii="Times New Roman" w:eastAsia="Times New Roman" w:hAnsi="Times New Roman" w:cs="Times New Roman"/>
          <w:kern w:val="0"/>
          <w14:ligatures w14:val="none"/>
        </w:rPr>
        <w:t xml:space="preserve"> IV abatacept is under US FDA review and could be the first Orencia biosimilar. However, the </w:t>
      </w:r>
      <w:proofErr w:type="spellStart"/>
      <w:r w:rsidRPr="000E64B7">
        <w:rPr>
          <w:rFonts w:ascii="Times New Roman" w:eastAsia="Times New Roman" w:hAnsi="Times New Roman" w:cs="Times New Roman"/>
          <w:kern w:val="0"/>
          <w14:ligatures w14:val="none"/>
        </w:rPr>
        <w:t>Bachupally</w:t>
      </w:r>
      <w:proofErr w:type="spellEnd"/>
      <w:r w:rsidRPr="000E64B7">
        <w:rPr>
          <w:rFonts w:ascii="Times New Roman" w:eastAsia="Times New Roman" w:hAnsi="Times New Roman" w:cs="Times New Roman"/>
          <w:kern w:val="0"/>
          <w14:ligatures w14:val="none"/>
        </w:rPr>
        <w:t xml:space="preserve"> biologics facility received seven Form 483 observations during the June 2026 pre-license inspection. Approval timing and plant clearance are the key swing factors; subcutaneous abatacept is a later, potentially larger opportunity. </w:t>
      </w: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Emerging</w:t>
      </w:r>
      <w:proofErr w:type="gramEnd"/>
      <w:r w:rsidRPr="000E64B7">
        <w:rPr>
          <w:rFonts w:ascii="Times New Roman" w:eastAsia="Times New Roman" w:hAnsi="Times New Roman" w:cs="Times New Roman"/>
          <w:b/>
          <w:bCs/>
          <w:kern w:val="0"/>
          <w14:ligatures w14:val="none"/>
        </w:rPr>
        <w:t xml:space="preserve"> Markets:</w:t>
      </w:r>
      <w:r w:rsidRPr="000E64B7">
        <w:rPr>
          <w:rFonts w:ascii="Times New Roman" w:eastAsia="Times New Roman" w:hAnsi="Times New Roman" w:cs="Times New Roman"/>
          <w:kern w:val="0"/>
          <w14:ligatures w14:val="none"/>
        </w:rPr>
        <w:t xml:space="preserve"> Q1FY27 revenue grew 31% to ₹1,833 crore, helped by 43 launches and </w:t>
      </w:r>
      <w:proofErr w:type="spellStart"/>
      <w:r w:rsidRPr="000E64B7">
        <w:rPr>
          <w:rFonts w:ascii="Times New Roman" w:eastAsia="Times New Roman" w:hAnsi="Times New Roman" w:cs="Times New Roman"/>
          <w:kern w:val="0"/>
          <w14:ligatures w14:val="none"/>
        </w:rPr>
        <w:t>favourable</w:t>
      </w:r>
      <w:proofErr w:type="spellEnd"/>
      <w:r w:rsidRPr="000E64B7">
        <w:rPr>
          <w:rFonts w:ascii="Times New Roman" w:eastAsia="Times New Roman" w:hAnsi="Times New Roman" w:cs="Times New Roman"/>
          <w:kern w:val="0"/>
          <w14:ligatures w14:val="none"/>
        </w:rPr>
        <w:t xml:space="preserve"> FX. Russia contributed 49% of EM revenue, making currency and geopolitical exposure the principal risk. The business provides more durable branded-generic growth than US generics. </w:t>
      </w: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Manufacturing</w:t>
      </w:r>
      <w:proofErr w:type="gramEnd"/>
      <w:r w:rsidRPr="000E64B7">
        <w:rPr>
          <w:rFonts w:ascii="Times New Roman" w:eastAsia="Times New Roman" w:hAnsi="Times New Roman" w:cs="Times New Roman"/>
          <w:b/>
          <w:bCs/>
          <w:kern w:val="0"/>
          <w14:ligatures w14:val="none"/>
        </w:rPr>
        <w:t>:</w:t>
      </w:r>
      <w:r w:rsidRPr="000E64B7">
        <w:rPr>
          <w:rFonts w:ascii="Times New Roman" w:eastAsia="Times New Roman" w:hAnsi="Times New Roman" w:cs="Times New Roman"/>
          <w:kern w:val="0"/>
          <w14:ligatures w14:val="none"/>
        </w:rPr>
        <w:t xml:space="preserve"> DRL has integrated API, oral-solid, injectable and biologics capabilities across India and selected overseas sites. Overall supply depth is adequate, but critical biosimilar manufacturing remains concentrated at </w:t>
      </w:r>
      <w:proofErr w:type="spellStart"/>
      <w:r w:rsidRPr="000E64B7">
        <w:rPr>
          <w:rFonts w:ascii="Times New Roman" w:eastAsia="Times New Roman" w:hAnsi="Times New Roman" w:cs="Times New Roman"/>
          <w:kern w:val="0"/>
          <w14:ligatures w14:val="none"/>
        </w:rPr>
        <w:t>Bachupally</w:t>
      </w:r>
      <w:proofErr w:type="spellEnd"/>
      <w:r w:rsidRPr="000E64B7">
        <w:rPr>
          <w:rFonts w:ascii="Times New Roman" w:eastAsia="Times New Roman" w:hAnsi="Times New Roman" w:cs="Times New Roman"/>
          <w:kern w:val="0"/>
          <w14:ligatures w14:val="none"/>
        </w:rPr>
        <w:t xml:space="preserve">. </w:t>
      </w:r>
    </w:p>
    <w:p w:rsidR="007B788F"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proofErr w:type="spellStart"/>
      <w:r w:rsidRPr="000E64B7">
        <w:rPr>
          <w:rFonts w:ascii="Times New Roman" w:eastAsia="Times New Roman" w:hAnsi="Times New Roman" w:cs="Times New Roman"/>
          <w:b/>
          <w:bCs/>
          <w:kern w:val="0"/>
          <w14:ligatures w14:val="none"/>
        </w:rPr>
        <w:t>Semaglutide</w:t>
      </w:r>
      <w:proofErr w:type="spellEnd"/>
      <w:proofErr w:type="gramEnd"/>
      <w:r w:rsidRPr="000E64B7">
        <w:rPr>
          <w:rFonts w:ascii="Times New Roman" w:eastAsia="Times New Roman" w:hAnsi="Times New Roman" w:cs="Times New Roman"/>
          <w:b/>
          <w:bCs/>
          <w:kern w:val="0"/>
          <w14:ligatures w14:val="none"/>
        </w:rPr>
        <w:t>:</w:t>
      </w:r>
      <w:r w:rsidRPr="000E64B7">
        <w:rPr>
          <w:rFonts w:ascii="Times New Roman" w:eastAsia="Times New Roman" w:hAnsi="Times New Roman" w:cs="Times New Roman"/>
          <w:kern w:val="0"/>
          <w14:ligatures w14:val="none"/>
        </w:rPr>
        <w:t xml:space="preserve"> DRL launched first in Canada, but an API impurity halted fresh supplies until at least late October and caused a ₹240 crore provision. Brazil rejected </w:t>
      </w:r>
      <w:proofErr w:type="spellStart"/>
      <w:r w:rsidRPr="000E64B7">
        <w:rPr>
          <w:rFonts w:ascii="Times New Roman" w:eastAsia="Times New Roman" w:hAnsi="Times New Roman" w:cs="Times New Roman"/>
          <w:kern w:val="0"/>
          <w14:ligatures w14:val="none"/>
        </w:rPr>
        <w:t>Embeltah</w:t>
      </w:r>
      <w:proofErr w:type="spellEnd"/>
      <w:r w:rsidRPr="000E64B7">
        <w:rPr>
          <w:rFonts w:ascii="Times New Roman" w:eastAsia="Times New Roman" w:hAnsi="Times New Roman" w:cs="Times New Roman"/>
          <w:kern w:val="0"/>
          <w14:ligatures w14:val="none"/>
        </w:rPr>
        <w:t xml:space="preserve"> on quality, safety and efficacy documentation; competitors have subsequently secured approvals. DRL can refile, but has lost first-mover advantage in Brazil.</w:t>
      </w:r>
    </w:p>
    <w:p w:rsidR="000E64B7" w:rsidRDefault="000E64B7" w:rsidP="000E64B7">
      <w:pPr>
        <w:rPr>
          <w:rFonts w:ascii="Times New Roman" w:eastAsia="Times New Roman" w:hAnsi="Times New Roman" w:cs="Times New Roman"/>
          <w:kern w:val="0"/>
          <w14:ligatures w14:val="none"/>
        </w:rPr>
      </w:pPr>
    </w:p>
    <w:p w:rsidR="000E64B7" w:rsidRDefault="000E64B7" w:rsidP="000E64B7">
      <w:pPr>
        <w:rPr>
          <w:rFonts w:ascii="Times New Roman" w:eastAsia="Times New Roman" w:hAnsi="Times New Roman" w:cs="Times New Roman"/>
          <w:kern w:val="0"/>
          <w14:ligatures w14:val="none"/>
        </w:rPr>
      </w:pP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Revenue</w:t>
      </w:r>
      <w:proofErr w:type="gramEnd"/>
      <w:r w:rsidRPr="000E64B7">
        <w:rPr>
          <w:rFonts w:ascii="Times New Roman" w:eastAsia="Times New Roman" w:hAnsi="Times New Roman" w:cs="Times New Roman"/>
          <w:b/>
          <w:bCs/>
          <w:kern w:val="0"/>
          <w14:ligatures w14:val="none"/>
        </w:rPr>
        <w:t xml:space="preserve"> mix:</w:t>
      </w:r>
      <w:r w:rsidRPr="000E64B7">
        <w:rPr>
          <w:rFonts w:ascii="Times New Roman" w:eastAsia="Times New Roman" w:hAnsi="Times New Roman" w:cs="Times New Roman"/>
          <w:kern w:val="0"/>
          <w14:ligatures w14:val="none"/>
        </w:rPr>
        <w:t xml:space="preserve"> Q1FY27 revenue was ₹2,026 crore, up 29%. CDMO contributed ₹870 crore, or 43%, and grew 67%; Affordable Medicines contributed ₹1,156 crore, or 57%, and grew 10%. </w:t>
      </w: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Segment</w:t>
      </w:r>
      <w:proofErr w:type="gramEnd"/>
      <w:r w:rsidRPr="000E64B7">
        <w:rPr>
          <w:rFonts w:ascii="Times New Roman" w:eastAsia="Times New Roman" w:hAnsi="Times New Roman" w:cs="Times New Roman"/>
          <w:b/>
          <w:bCs/>
          <w:kern w:val="0"/>
          <w14:ligatures w14:val="none"/>
        </w:rPr>
        <w:t xml:space="preserve"> detail:</w:t>
      </w:r>
      <w:r w:rsidRPr="000E64B7">
        <w:rPr>
          <w:rFonts w:ascii="Times New Roman" w:eastAsia="Times New Roman" w:hAnsi="Times New Roman" w:cs="Times New Roman"/>
          <w:kern w:val="0"/>
          <w14:ligatures w14:val="none"/>
        </w:rPr>
        <w:t xml:space="preserve"> CDMO comprised ₹835 crore of small molecules and ₹35 crore of biologics. Affordable Medicines comprised ₹654 crore of APIs and ₹502 crore of formulations. ARVs generated ₹669 crore, around one-third of total revenue, but grew only 3%. </w:t>
      </w: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Main</w:t>
      </w:r>
      <w:proofErr w:type="gramEnd"/>
      <w:r w:rsidRPr="000E64B7">
        <w:rPr>
          <w:rFonts w:ascii="Times New Roman" w:eastAsia="Times New Roman" w:hAnsi="Times New Roman" w:cs="Times New Roman"/>
          <w:b/>
          <w:bCs/>
          <w:kern w:val="0"/>
          <w14:ligatures w14:val="none"/>
        </w:rPr>
        <w:t xml:space="preserve"> growth engine:</w:t>
      </w:r>
      <w:r w:rsidRPr="000E64B7">
        <w:rPr>
          <w:rFonts w:ascii="Times New Roman" w:eastAsia="Times New Roman" w:hAnsi="Times New Roman" w:cs="Times New Roman"/>
          <w:kern w:val="0"/>
          <w14:ligatures w14:val="none"/>
        </w:rPr>
        <w:t xml:space="preserve"> Commercial and late-stage CDMO supplies are driving mix improvement and operating leverage. EBITDA margin reached 31.8% versus 24.8% last year. The pipeline includes more than 125 active projects across human health, animal health and crop science. </w:t>
      </w: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Products</w:t>
      </w:r>
      <w:proofErr w:type="gramEnd"/>
      <w:r w:rsidRPr="000E64B7">
        <w:rPr>
          <w:rFonts w:ascii="Times New Roman" w:eastAsia="Times New Roman" w:hAnsi="Times New Roman" w:cs="Times New Roman"/>
          <w:b/>
          <w:bCs/>
          <w:kern w:val="0"/>
          <w14:ligatures w14:val="none"/>
        </w:rPr>
        <w:t xml:space="preserve"> and moat:</w:t>
      </w:r>
      <w:r w:rsidRPr="000E64B7">
        <w:rPr>
          <w:rFonts w:ascii="Times New Roman" w:eastAsia="Times New Roman" w:hAnsi="Times New Roman" w:cs="Times New Roman"/>
          <w:kern w:val="0"/>
          <w14:ligatures w14:val="none"/>
        </w:rPr>
        <w:t xml:space="preserve"> Laurus does not disclose reliable molecule-level or geographic revenue, so precise product rankings from export data would be speculative. Its defensible advantages are vertically integrated ARV manufacturing, process chemistry, regulatory track record and the ability to scale customer molecules from development into commercial production. </w:t>
      </w:r>
    </w:p>
    <w:p w:rsidR="000E64B7" w:rsidRPr="000E64B7" w:rsidRDefault="000E64B7" w:rsidP="000E64B7">
      <w:pPr>
        <w:rPr>
          <w:rFonts w:ascii="Times New Roman" w:eastAsia="Times New Roman" w:hAnsi="Times New Roman" w:cs="Times New Roman"/>
          <w:kern w:val="0"/>
          <w14:ligatures w14:val="none"/>
        </w:rPr>
      </w:pPr>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Future</w:t>
      </w:r>
      <w:proofErr w:type="gramEnd"/>
      <w:r w:rsidRPr="000E64B7">
        <w:rPr>
          <w:rFonts w:ascii="Times New Roman" w:eastAsia="Times New Roman" w:hAnsi="Times New Roman" w:cs="Times New Roman"/>
          <w:b/>
          <w:bCs/>
          <w:kern w:val="0"/>
          <w14:ligatures w14:val="none"/>
        </w:rPr>
        <w:t xml:space="preserve"> pipeline:</w:t>
      </w:r>
      <w:r w:rsidRPr="000E64B7">
        <w:rPr>
          <w:rFonts w:ascii="Times New Roman" w:eastAsia="Times New Roman" w:hAnsi="Times New Roman" w:cs="Times New Roman"/>
          <w:kern w:val="0"/>
          <w14:ligatures w14:val="none"/>
        </w:rPr>
        <w:t xml:space="preserve"> Capex is focused on large-scale APIs, fermentation, peptides, gene therapy and ADCs. These platforms can widen the addressable CDMO market, but </w:t>
      </w:r>
      <w:proofErr w:type="spellStart"/>
      <w:r w:rsidRPr="000E64B7">
        <w:rPr>
          <w:rFonts w:ascii="Times New Roman" w:eastAsia="Times New Roman" w:hAnsi="Times New Roman" w:cs="Times New Roman"/>
          <w:kern w:val="0"/>
          <w14:ligatures w14:val="none"/>
        </w:rPr>
        <w:t>utilisation</w:t>
      </w:r>
      <w:proofErr w:type="spellEnd"/>
      <w:r w:rsidRPr="000E64B7">
        <w:rPr>
          <w:rFonts w:ascii="Times New Roman" w:eastAsia="Times New Roman" w:hAnsi="Times New Roman" w:cs="Times New Roman"/>
          <w:kern w:val="0"/>
          <w14:ligatures w14:val="none"/>
        </w:rPr>
        <w:t xml:space="preserve"> and customer conversion will determine returns. </w:t>
      </w:r>
    </w:p>
    <w:p w:rsidR="000E64B7" w:rsidRDefault="000E64B7" w:rsidP="000E64B7">
      <w:proofErr w:type="gramStart"/>
      <w:r w:rsidRPr="000E64B7">
        <w:rPr>
          <w:rFonts w:ascii="Times New Roman" w:eastAsia="Times New Roman" w:hAnsi="Symbol" w:cs="Times New Roman"/>
          <w:kern w:val="0"/>
          <w14:ligatures w14:val="none"/>
        </w:rPr>
        <w:t></w:t>
      </w:r>
      <w:r w:rsidRPr="000E64B7">
        <w:rPr>
          <w:rFonts w:ascii="Times New Roman" w:eastAsia="Times New Roman" w:hAnsi="Times New Roman" w:cs="Times New Roman"/>
          <w:kern w:val="0"/>
          <w14:ligatures w14:val="none"/>
        </w:rPr>
        <w:t xml:space="preserve">  </w:t>
      </w:r>
      <w:r w:rsidRPr="000E64B7">
        <w:rPr>
          <w:rFonts w:ascii="Times New Roman" w:eastAsia="Times New Roman" w:hAnsi="Times New Roman" w:cs="Times New Roman"/>
          <w:b/>
          <w:bCs/>
          <w:kern w:val="0"/>
          <w14:ligatures w14:val="none"/>
        </w:rPr>
        <w:t>CAR</w:t>
      </w:r>
      <w:proofErr w:type="gramEnd"/>
      <w:r w:rsidRPr="000E64B7">
        <w:rPr>
          <w:rFonts w:ascii="Times New Roman" w:eastAsia="Times New Roman" w:hAnsi="Times New Roman" w:cs="Times New Roman"/>
          <w:b/>
          <w:bCs/>
          <w:kern w:val="0"/>
          <w14:ligatures w14:val="none"/>
        </w:rPr>
        <w:t>-T:</w:t>
      </w:r>
      <w:r w:rsidRPr="000E64B7">
        <w:rPr>
          <w:rFonts w:ascii="Times New Roman" w:eastAsia="Times New Roman" w:hAnsi="Times New Roman" w:cs="Times New Roman"/>
          <w:kern w:val="0"/>
          <w14:ligatures w14:val="none"/>
        </w:rPr>
        <w:t xml:space="preserve"> Laurus-backed </w:t>
      </w:r>
      <w:proofErr w:type="spellStart"/>
      <w:r w:rsidRPr="000E64B7">
        <w:rPr>
          <w:rFonts w:ascii="Times New Roman" w:eastAsia="Times New Roman" w:hAnsi="Times New Roman" w:cs="Times New Roman"/>
          <w:kern w:val="0"/>
          <w14:ligatures w14:val="none"/>
        </w:rPr>
        <w:t>ImmunoACT’s</w:t>
      </w:r>
      <w:proofErr w:type="spellEnd"/>
      <w:r w:rsidRPr="000E64B7">
        <w:rPr>
          <w:rFonts w:ascii="Times New Roman" w:eastAsia="Times New Roman" w:hAnsi="Times New Roman" w:cs="Times New Roman"/>
          <w:kern w:val="0"/>
          <w14:ligatures w14:val="none"/>
        </w:rPr>
        <w:t xml:space="preserve"> NexCAR19 has crossed 600 infusions across more than 90 </w:t>
      </w:r>
      <w:proofErr w:type="spellStart"/>
      <w:r w:rsidRPr="000E64B7">
        <w:rPr>
          <w:rFonts w:ascii="Times New Roman" w:eastAsia="Times New Roman" w:hAnsi="Times New Roman" w:cs="Times New Roman"/>
          <w:kern w:val="0"/>
          <w14:ligatures w14:val="none"/>
        </w:rPr>
        <w:t>centres</w:t>
      </w:r>
      <w:proofErr w:type="spellEnd"/>
      <w:r w:rsidRPr="000E64B7">
        <w:rPr>
          <w:rFonts w:ascii="Times New Roman" w:eastAsia="Times New Roman" w:hAnsi="Times New Roman" w:cs="Times New Roman"/>
          <w:kern w:val="0"/>
          <w14:ligatures w14:val="none"/>
        </w:rPr>
        <w:t>, added manufacturing capacity and partnered with Cipla for Africa. This validates the platform, but Laurus owns a minority stake; CDMO remains the primary earnings and valuation driver.</w:t>
      </w:r>
    </w:p>
    <w:sectPr w:rsidR="000E6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B7"/>
    <w:rsid w:val="000E64B7"/>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64980A"/>
  <w15:chartTrackingRefBased/>
  <w15:docId w15:val="{A874E572-E877-834B-910E-62B8BAAD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E64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952854">
      <w:bodyDiv w:val="1"/>
      <w:marLeft w:val="0"/>
      <w:marRight w:val="0"/>
      <w:marTop w:val="0"/>
      <w:marBottom w:val="0"/>
      <w:divBdr>
        <w:top w:val="none" w:sz="0" w:space="0" w:color="auto"/>
        <w:left w:val="none" w:sz="0" w:space="0" w:color="auto"/>
        <w:bottom w:val="none" w:sz="0" w:space="0" w:color="auto"/>
        <w:right w:val="none" w:sz="0" w:space="0" w:color="auto"/>
      </w:divBdr>
    </w:div>
    <w:div w:id="143320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2026-08-31T08:01:00Z</dcterms:created>
  <dcterms:modified xsi:type="dcterms:W3CDTF">2026-08-31T08:01:00Z</dcterms:modified>
</cp:coreProperties>
</file>