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16BF" w:rsidRDefault="00A316BF" w:rsidP="00A316BF">
      <w:pPr>
        <w:pStyle w:val="pdq2pgselectionanchorcontainer"/>
      </w:pPr>
      <w:r>
        <w:t>World Population Day is usually framed as a population-growth debate, but the more investable issue is now fertility decline. Global fertility is already around 2.25 births per woman and moving toward replacement; India is no longer a high-fertility market either, with national fertility around replacement and urban India already near 1.5. The first-order read is fewer births. The second-order read is more interesting: the timing of conception is moving later, while the biology of conception has not shifted with it. Women are marrying later, first pregnancies are being pushed out, maternal age is rising, and male-factor infertility is harder to ignore as sperm concentration has fallen materially over several decades. This turns infertility from a niche female issue into a couple-level clinical problem. Lower fertility rates therefore do not automatically mean lower fertility spending. The same forces reducing completed family size can make the pregnancies couples still want harder to achieve, increasing the need for diagnostics, ovulation induction, IUI, IVF, ICSI, embryo freezing and fertility preservation.</w:t>
      </w:r>
    </w:p>
    <w:p w:rsidR="00A316BF" w:rsidRDefault="00A316BF" w:rsidP="00A316BF">
      <w:pPr>
        <w:pStyle w:val="NormalWeb"/>
      </w:pPr>
      <w:r>
        <w:t xml:space="preserve">The investable market is broader than IVF. Couples enter through </w:t>
      </w:r>
      <w:proofErr w:type="spellStart"/>
      <w:r>
        <w:t>gynaecologists</w:t>
      </w:r>
      <w:proofErr w:type="spellEnd"/>
      <w:r>
        <w:t xml:space="preserve">, urologists, endocrinologists, diagnostics and fertility clinics; the pathway includes ovarian reserve testing, ultrasound, tubal assessment, semen analysis, hormonal testing, timed intercourse, ovulation induction, luteal support and IUI before it reaches IVF or ICSI. IVF is the most visible endpoint, but </w:t>
      </w:r>
      <w:proofErr w:type="spellStart"/>
      <w:r>
        <w:t>monetisation</w:t>
      </w:r>
      <w:proofErr w:type="spellEnd"/>
      <w:r>
        <w:t xml:space="preserve"> starts earlier and repeats across cycles. India’s IVF market is estimated at about US$1.5bn in 2025, growing at roughly 14% CAGR, with annual cycles around 300,000–380,000 and large latent demand still unmet. The better profit pools are not generic women’s wellness. They are doctor-led, protocol-driven, repeat and clinically embedded: </w:t>
      </w:r>
      <w:proofErr w:type="spellStart"/>
      <w:r>
        <w:t>organised</w:t>
      </w:r>
      <w:proofErr w:type="spellEnd"/>
      <w:r>
        <w:t xml:space="preserve"> ART clinics, fertility medicines, gonadotropins, trigger products, progesterone support, embryo freezing, specialist diagnostics and ICSI-linked treatment. D2C wellness and episodic sexual-health products face weaker repeat use, high customer acquisition cost and limited clinical ownership.</w:t>
      </w:r>
    </w:p>
    <w:p w:rsidR="00A316BF" w:rsidRDefault="00A316BF" w:rsidP="00A316BF">
      <w:pPr>
        <w:pStyle w:val="NormalWeb"/>
      </w:pPr>
      <w:r>
        <w:t xml:space="preserve">This makes the stock implications selective. Sun Pharma looks more credible after Organon because it adds a scaled, prescription-led women’s-health platform, with fertility assets such as </w:t>
      </w:r>
      <w:proofErr w:type="spellStart"/>
      <w:r>
        <w:t>Follistim</w:t>
      </w:r>
      <w:proofErr w:type="spellEnd"/>
      <w:r>
        <w:t xml:space="preserve"> AQ and </w:t>
      </w:r>
      <w:proofErr w:type="spellStart"/>
      <w:r>
        <w:t>Elonva</w:t>
      </w:r>
      <w:proofErr w:type="spellEnd"/>
      <w:r>
        <w:t xml:space="preserve"> that sit closer to specialist ART workflows. Mankind has a meaningful asset in BSV, but the question is whether it can build specialist depth and fertility-clinic relevance, not just consumer reproductive branding. Lupin is the counterexample: </w:t>
      </w:r>
      <w:proofErr w:type="spellStart"/>
      <w:r>
        <w:t>Solosec</w:t>
      </w:r>
      <w:proofErr w:type="spellEnd"/>
      <w:r>
        <w:t xml:space="preserve"> and the </w:t>
      </w:r>
      <w:proofErr w:type="spellStart"/>
      <w:r>
        <w:t>Evofem</w:t>
      </w:r>
      <w:proofErr w:type="spellEnd"/>
      <w:r>
        <w:t xml:space="preserve"> exit show that large unmet need does not create value if the product lacks repeat prescription depth, specialist ownership and ecosystem fit. Aurobindo and Biocon have limited direct exposure. The conclusion is narrow: value should accrue to businesses inside the clinical workflow, with repeat treatment intensity, specialist prescribing and scale as fertility care </w:t>
      </w:r>
      <w:proofErr w:type="spellStart"/>
      <w:r>
        <w:t>formalises</w:t>
      </w:r>
      <w:proofErr w:type="spellEnd"/>
      <w:r>
        <w:t>.</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BF"/>
    <w:rsid w:val="007B788F"/>
    <w:rsid w:val="0098646A"/>
    <w:rsid w:val="00A31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7385799-BA5B-7541-886F-419D85AD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A316BF"/>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316B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34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2026-07-09T12:50:00Z</dcterms:created>
  <dcterms:modified xsi:type="dcterms:W3CDTF">2026-07-09T12:50:00Z</dcterms:modified>
</cp:coreProperties>
</file>