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788F" w:rsidRDefault="005A7F46">
      <w:r>
        <w:t xml:space="preserve">The relevant precedent is Momenta/Mylan’s M834, not because it received an FDA rejection, but because it shows why abatacept is a technically unforgiving biosimilar target. Momenta partnered with Mylan in 2016 to develop six biosimilars, including M834, with Mylan leading global commercialization; however, M834 missed its primary PK endpoints in a 243-subject Phase I study comparing subcutaneous M834 with US- and EU-sourced Orencia, including exposure metrics such as </w:t>
      </w:r>
      <w:proofErr w:type="spellStart"/>
      <w:r>
        <w:t>Cmax</w:t>
      </w:r>
      <w:proofErr w:type="spellEnd"/>
      <w:r>
        <w:t xml:space="preserve"> and AUC. For a biosimilar, that is not a minor clinical miss: if systemic exposure cannot be bridged cleanly to the reference product, FDA is unlikely to accept a “similar enough” argument without additional analytical work, process changes, and repeat clinical bridging. Momenta subsequently deprioritized / exited most of its Mylan biosimilar programs, including M834, and its related patent appeal was dismissed as moot after the program was discontinued. This is not a direct read-across to Dr. Reddy’s, because DRL_AB is currently filed for IV abatacept while M834’s failed study was subcutaneous, but it reinforces our core caution: abatacept has already defeated one sophisticated biosimilar developer on comparability, and Dr. Reddy’s now has to clear both the molecule-specific similarity bar and the </w:t>
      </w:r>
      <w:proofErr w:type="spellStart"/>
      <w:r>
        <w:t>Bachupally</w:t>
      </w:r>
      <w:proofErr w:type="spellEnd"/>
      <w:r>
        <w:t xml:space="preserve"> CMC / inspection bar before investors can treat the opportunity as de-risked.</w:t>
      </w:r>
    </w:p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46"/>
    <w:rsid w:val="005A7F46"/>
    <w:rsid w:val="007B788F"/>
    <w:rsid w:val="0098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0D2EB57-7475-494B-AFCC-76575A69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2026-06-17T11:17:00Z</dcterms:created>
  <dcterms:modified xsi:type="dcterms:W3CDTF">2026-06-17T11:18:00Z</dcterms:modified>
</cp:coreProperties>
</file>