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346DA" w:rsidRPr="005346DA" w:rsidRDefault="005346DA" w:rsidP="005346D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46DA">
        <w:rPr>
          <w:rFonts w:ascii="Times New Roman" w:eastAsia="Times New Roman" w:hAnsi="Times New Roman" w:cs="Times New Roman"/>
          <w:b/>
          <w:bCs/>
          <w:kern w:val="36"/>
          <w:sz w:val="48"/>
          <w:szCs w:val="48"/>
          <w14:ligatures w14:val="none"/>
        </w:rPr>
        <w:t>Weekend Healthcare Pulse: AMR</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The next infectious disease profit pool sits in prevention, diagnostics and reserve therapy</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AMR sits at the intersection of infectious disease, hospital economics, diagnostics, vaccines and novel anti-infectives. The clinical burden is concentrated in sepsis, pneumonia, complicated UTI, post-surgical infections, ICU infections, MDR-TB and hospital-acquired infections. The commercial pool is more selective. Value accrues where a product changes a treatment decision, prevents an expensive infection, or protects a last-line antibiotic.</w:t>
      </w:r>
    </w:p>
    <w:p w:rsidR="005346DA" w:rsidRPr="005346DA" w:rsidRDefault="00B81831" w:rsidP="005346DA">
      <w:pPr>
        <w:rPr>
          <w:rFonts w:ascii="Times New Roman" w:eastAsia="Times New Roman" w:hAnsi="Times New Roman" w:cs="Times New Roman"/>
          <w:kern w:val="0"/>
          <w14:ligatures w14:val="none"/>
        </w:rPr>
      </w:pPr>
      <w:r w:rsidRPr="00B81831">
        <w:rPr>
          <w:rFonts w:ascii="Times New Roman" w:eastAsia="Times New Roman" w:hAnsi="Times New Roman" w:cs="Times New Roman"/>
          <w:noProof/>
          <w:kern w:val="0"/>
        </w:rPr>
        <w:pict>
          <v:rect id="_x0000_i1028" alt="" style="width:468pt;height:.05pt;mso-width-percent:0;mso-height-percent:0;mso-width-percent:0;mso-height-percent:0" o:hralign="center" o:hrstd="t" o:hr="t" fillcolor="#a0a0a0" stroked="f"/>
        </w:pict>
      </w:r>
    </w:p>
    <w:p w:rsidR="005346DA" w:rsidRPr="005346DA" w:rsidRDefault="005346DA" w:rsidP="005346D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46DA">
        <w:rPr>
          <w:rFonts w:ascii="Times New Roman" w:eastAsia="Times New Roman" w:hAnsi="Times New Roman" w:cs="Times New Roman"/>
          <w:b/>
          <w:bCs/>
          <w:kern w:val="36"/>
          <w:sz w:val="48"/>
          <w:szCs w:val="48"/>
          <w14:ligatures w14:val="none"/>
        </w:rPr>
        <w:t>1. What is AMR and why does it matter?</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Antimicrobial resistance, or AMR, occurs when bacteria, viruses, fungi or parasites evolve mechanisms to survive drugs that previously killed them. In pharma, the practical focus is bacterial resistance to antibiotics. The patient does not become resistant. The pathogen does. The clinical result is simple: the first antibiotic fails, treatment is delayed, infection progresses, hospital stay extends, and mortality rises.</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At a biology level, resistance is an evolutionary selection problem. Antibiotic exposure kills susceptible organisms and leaves behind organisms with survival advantages. These advantages can come from beta-lactamases that destroy beta-lactam antibiotics, </w:t>
      </w:r>
      <w:proofErr w:type="spellStart"/>
      <w:r w:rsidRPr="005346DA">
        <w:rPr>
          <w:rFonts w:ascii="Times New Roman" w:eastAsia="Times New Roman" w:hAnsi="Times New Roman" w:cs="Times New Roman"/>
          <w:kern w:val="0"/>
          <w14:ligatures w14:val="none"/>
        </w:rPr>
        <w:t>carbapenemases</w:t>
      </w:r>
      <w:proofErr w:type="spellEnd"/>
      <w:r w:rsidRPr="005346DA">
        <w:rPr>
          <w:rFonts w:ascii="Times New Roman" w:eastAsia="Times New Roman" w:hAnsi="Times New Roman" w:cs="Times New Roman"/>
          <w:kern w:val="0"/>
          <w14:ligatures w14:val="none"/>
        </w:rPr>
        <w:t xml:space="preserve"> that neutralize last-line carbapenems, efflux pumps that push drugs out of the bacterial cell, target-site mutations that stop drugs from binding, porin loss that prevents drug entry, and plasmid-mediated gene transfer that spreads resistance between bacteria. These mechanisms matter commercially because they turn cheap generic antibiotics into inadequate therapy and force hospitals into expensive diagnostics, ICU care and last-line injectables.</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The mortality burden is already material. The GRAM 2024 Lancet analysis estimates that bacterial AMR was directly responsible for 1.14m deaths in 2021 and associated with 4.71m deaths. By 2050, direct AMR deaths are projected to reach 1.91m annually and associated deaths 8.22m annually. Cumulative direct AMR deaths from 2025 to 2050 are estimated at 39m.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The economic burden is equally relevant. WHO cites World Bank estimates that AMR could create US$1tn of additional healthcare costs by 2050 and US$1tn to US$3.4tn of annual GDP losses by 2030. The mechanism is not abstract. Resistant infections increase length of stay, ICU utilization, diagnostic intensity, use of second-line and third-line drugs, isolation costs and readmissions.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India is one of the highest-exposure markets. One Health Trust estimates that in India in 2021, bacterial infections caused 1.58m deaths, AMR was associated with 987k deaths, and AMR was </w:t>
      </w:r>
      <w:r w:rsidRPr="005346DA">
        <w:rPr>
          <w:rFonts w:ascii="Times New Roman" w:eastAsia="Times New Roman" w:hAnsi="Times New Roman" w:cs="Times New Roman"/>
          <w:kern w:val="0"/>
          <w14:ligatures w14:val="none"/>
        </w:rPr>
        <w:lastRenderedPageBreak/>
        <w:t xml:space="preserve">directly attributable to 267k deaths. India also has a large sepsis pool: published estimates put sepsis incidence at 540 to 640 per 100,000 population, with a total burden of 8.96m cases and mortality of 25 to 30%.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hospital economics are central. A susceptible infection usually follows a predictable pathway: diagnose, treat, discharge. A resistant infection breaks that pathway. Patients remain on empirical broad-spectrum drugs while culture and AST results take time. If initial therapy is ineffective, the patient deteriorates. The hospital then spends more on ICU days, combination therapy, escalation drugs, isolation, repeat cultures and specialist input. AMR therefore converts a routine infection into a high-cost inpatient episode.</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b/>
          <w:bCs/>
          <w:kern w:val="0"/>
          <w14:ligatures w14:val="none"/>
        </w:rPr>
        <w:t>Exhibit 1: AMR clinical and financial flywheel</w:t>
      </w:r>
    </w:p>
    <w:p w:rsidR="005346DA" w:rsidRPr="005346DA" w:rsidRDefault="005346DA" w:rsidP="0053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46DA">
        <w:rPr>
          <w:rFonts w:ascii="Courier New" w:eastAsia="Times New Roman" w:hAnsi="Courier New" w:cs="Courier New"/>
          <w:kern w:val="0"/>
          <w:sz w:val="20"/>
          <w:szCs w:val="20"/>
          <w14:ligatures w14:val="none"/>
        </w:rPr>
        <w:t>Antibiotic exposure</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Selection of resistant bacteria</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Initial therapy fails or is delayed</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Higher bacterial load and clinical deterioration</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Longer stay, ICU use, repeat diagnostics</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Use of reserve antibiotics and combination therapy</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Higher cost, higher mortality, higher resistance pressure</w:t>
      </w:r>
      <w:r w:rsidRPr="005346DA">
        <w:rPr>
          <w:rFonts w:ascii="Courier New" w:eastAsia="Times New Roman" w:hAnsi="Courier New" w:cs="Courier New"/>
          <w:kern w:val="0"/>
          <w:sz w:val="20"/>
          <w:szCs w:val="20"/>
          <w14:ligatures w14:val="none"/>
        </w:rPr>
        <w:br/>
        <w:t xml:space="preserve">        |</w:t>
      </w:r>
      <w:r w:rsidRPr="005346DA">
        <w:rPr>
          <w:rFonts w:ascii="Courier New" w:eastAsia="Times New Roman" w:hAnsi="Courier New" w:cs="Courier New"/>
          <w:kern w:val="0"/>
          <w:sz w:val="20"/>
          <w:szCs w:val="20"/>
          <w14:ligatures w14:val="none"/>
        </w:rPr>
        <w:br/>
        <w:t xml:space="preserve">        v</w:t>
      </w:r>
      <w:r w:rsidRPr="005346DA">
        <w:rPr>
          <w:rFonts w:ascii="Courier New" w:eastAsia="Times New Roman" w:hAnsi="Courier New" w:cs="Courier New"/>
          <w:kern w:val="0"/>
          <w:sz w:val="20"/>
          <w:szCs w:val="20"/>
          <w14:ligatures w14:val="none"/>
        </w:rPr>
        <w:br/>
        <w:t>Larger future resistant infection pool</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investable implication is clear. AMR is not only a drug-development problem. It is a workflow problem. Hospitals need faster organism identification, faster resistance detection, better infection prevention, and selective access to reserve antibiotics. Pharma companies that address only the last step face weaker commercial economics than companies that prevent the episode or shorten the diagnostic delay.</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b/>
          <w:bCs/>
          <w:kern w:val="0"/>
          <w14:ligatures w14:val="none"/>
        </w:rPr>
        <w:t>Exhibit 2: Where value is created in the AMR pathway</w:t>
      </w:r>
    </w:p>
    <w:p w:rsidR="005346DA" w:rsidRPr="005346DA" w:rsidRDefault="005346DA" w:rsidP="0053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46DA">
        <w:rPr>
          <w:rFonts w:ascii="Courier New" w:eastAsia="Times New Roman" w:hAnsi="Courier New" w:cs="Courier New"/>
          <w:kern w:val="0"/>
          <w:sz w:val="20"/>
          <w:szCs w:val="20"/>
          <w14:ligatures w14:val="none"/>
        </w:rPr>
        <w:t>Before infection              At suspicion                 After confirmation</w:t>
      </w:r>
      <w:r w:rsidRPr="005346DA">
        <w:rPr>
          <w:rFonts w:ascii="Courier New" w:eastAsia="Times New Roman" w:hAnsi="Courier New" w:cs="Courier New"/>
          <w:kern w:val="0"/>
          <w:sz w:val="20"/>
          <w:szCs w:val="20"/>
          <w14:ligatures w14:val="none"/>
        </w:rPr>
        <w:br/>
        <w:t>----------------              ------------                 ------------------</w:t>
      </w:r>
      <w:r w:rsidRPr="005346DA">
        <w:rPr>
          <w:rFonts w:ascii="Courier New" w:eastAsia="Times New Roman" w:hAnsi="Courier New" w:cs="Courier New"/>
          <w:kern w:val="0"/>
          <w:sz w:val="20"/>
          <w:szCs w:val="20"/>
          <w14:ligatures w14:val="none"/>
        </w:rPr>
        <w:br/>
        <w:t>Vaccines                      Rapid PCR                    Targeted antibiotic</w:t>
      </w:r>
      <w:r w:rsidRPr="005346DA">
        <w:rPr>
          <w:rFonts w:ascii="Courier New" w:eastAsia="Times New Roman" w:hAnsi="Courier New" w:cs="Courier New"/>
          <w:kern w:val="0"/>
          <w:sz w:val="20"/>
          <w:szCs w:val="20"/>
          <w14:ligatures w14:val="none"/>
        </w:rPr>
        <w:br/>
        <w:t>IPC protocols                 Resistance genes             Reserve therapy</w:t>
      </w:r>
      <w:r w:rsidRPr="005346DA">
        <w:rPr>
          <w:rFonts w:ascii="Courier New" w:eastAsia="Times New Roman" w:hAnsi="Courier New" w:cs="Courier New"/>
          <w:kern w:val="0"/>
          <w:sz w:val="20"/>
          <w:szCs w:val="20"/>
          <w14:ligatures w14:val="none"/>
        </w:rPr>
        <w:br/>
        <w:t>Pre-surgical prevention       Rapid AST                    Combination therapy</w:t>
      </w:r>
      <w:r w:rsidRPr="005346DA">
        <w:rPr>
          <w:rFonts w:ascii="Courier New" w:eastAsia="Times New Roman" w:hAnsi="Courier New" w:cs="Courier New"/>
          <w:kern w:val="0"/>
          <w:sz w:val="20"/>
          <w:szCs w:val="20"/>
          <w14:ligatures w14:val="none"/>
        </w:rPr>
        <w:br/>
        <w:t>Stewardship                   Blood culture ID             De-escalation</w:t>
      </w:r>
      <w:r w:rsidRPr="005346DA">
        <w:rPr>
          <w:rFonts w:ascii="Courier New" w:eastAsia="Times New Roman" w:hAnsi="Courier New" w:cs="Courier New"/>
          <w:kern w:val="0"/>
          <w:sz w:val="20"/>
          <w:szCs w:val="20"/>
          <w14:ligatures w14:val="none"/>
        </w:rPr>
        <w:br/>
      </w:r>
      <w:r w:rsidRPr="005346DA">
        <w:rPr>
          <w:rFonts w:ascii="Courier New" w:eastAsia="Times New Roman" w:hAnsi="Courier New" w:cs="Courier New"/>
          <w:kern w:val="0"/>
          <w:sz w:val="20"/>
          <w:szCs w:val="20"/>
          <w14:ligatures w14:val="none"/>
        </w:rPr>
        <w:lastRenderedPageBreak/>
        <w:br/>
        <w:t>Best economics:               Best decision impact:         Highest unmet need:</w:t>
      </w:r>
      <w:r w:rsidRPr="005346DA">
        <w:rPr>
          <w:rFonts w:ascii="Courier New" w:eastAsia="Times New Roman" w:hAnsi="Courier New" w:cs="Courier New"/>
          <w:kern w:val="0"/>
          <w:sz w:val="20"/>
          <w:szCs w:val="20"/>
          <w14:ligatures w14:val="none"/>
        </w:rPr>
        <w:br/>
        <w:t>Prevention                    Diagnostics                  Last-line therapy</w:t>
      </w:r>
    </w:p>
    <w:p w:rsidR="005346DA" w:rsidRPr="005346DA" w:rsidRDefault="00B81831" w:rsidP="005346DA">
      <w:pPr>
        <w:rPr>
          <w:rFonts w:ascii="Times New Roman" w:eastAsia="Times New Roman" w:hAnsi="Times New Roman" w:cs="Times New Roman"/>
          <w:kern w:val="0"/>
          <w14:ligatures w14:val="none"/>
        </w:rPr>
      </w:pPr>
      <w:r w:rsidRPr="00B81831">
        <w:rPr>
          <w:rFonts w:ascii="Times New Roman" w:eastAsia="Times New Roman" w:hAnsi="Times New Roman" w:cs="Times New Roman"/>
          <w:noProof/>
          <w:kern w:val="0"/>
        </w:rPr>
        <w:pict>
          <v:rect id="_x0000_i1027" alt="" style="width:468pt;height:.05pt;mso-width-percent:0;mso-height-percent:0;mso-width-percent:0;mso-height-percent:0" o:hralign="center" o:hrstd="t" o:hr="t" fillcolor="#a0a0a0" stroked="f"/>
        </w:pict>
      </w:r>
    </w:p>
    <w:p w:rsidR="005346DA" w:rsidRPr="005346DA" w:rsidRDefault="005346DA" w:rsidP="005346D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46DA">
        <w:rPr>
          <w:rFonts w:ascii="Times New Roman" w:eastAsia="Times New Roman" w:hAnsi="Times New Roman" w:cs="Times New Roman"/>
          <w:b/>
          <w:bCs/>
          <w:kern w:val="36"/>
          <w:sz w:val="48"/>
          <w:szCs w:val="48"/>
          <w14:ligatures w14:val="none"/>
        </w:rPr>
        <w:t>2. Ways to tackle AMR and what changes globally</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2.1 Diagnostics: from empirical treatment to decision-grade testing</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diagnostic problem is the first commercial opportunity. Standard culture and susceptibility workflows often take days. During that period, clinicians use empirical antibiotics. That creates two risks. First, the patient may receive an ineffective drug. Second, broad-spectrum drugs are overused in patients who did not need them.</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Visby Medical is a useful startup case study. Its core platform is portable, instrument-free PCR that produces results in under 30 minutes. The company’s second-generation Sexual Health point-of-care test received FDA 510(k) clearance and a CLIA waiver, with the stated ability to support same-visit testing and treatment. Visby also received up to US$1.8m from CARB-X in 2024 to develop a rapid portable gonorrhea diagnostic that detects Neisseria gonorrhoeae and ciprofloxacin susceptibility. The clinical logic is strong: identify when ciprofloxacin can be used and preserve ceftriaxone for resistant disease.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Roche represents the large-cap diagnostic model. Its </w:t>
      </w:r>
      <w:proofErr w:type="spellStart"/>
      <w:r w:rsidRPr="005346DA">
        <w:rPr>
          <w:rFonts w:ascii="Times New Roman" w:eastAsia="Times New Roman" w:hAnsi="Times New Roman" w:cs="Times New Roman"/>
          <w:kern w:val="0"/>
          <w14:ligatures w14:val="none"/>
        </w:rPr>
        <w:t>cobas</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eplex</w:t>
      </w:r>
      <w:proofErr w:type="spellEnd"/>
      <w:r w:rsidRPr="005346DA">
        <w:rPr>
          <w:rFonts w:ascii="Times New Roman" w:eastAsia="Times New Roman" w:hAnsi="Times New Roman" w:cs="Times New Roman"/>
          <w:kern w:val="0"/>
          <w14:ligatures w14:val="none"/>
        </w:rPr>
        <w:t xml:space="preserve"> blood culture identification panels identify bacterial and fungal organisms and resistance genes in around 90 minutes after blood culture bottle positivity. The panels include resistance markers such as </w:t>
      </w:r>
      <w:proofErr w:type="spellStart"/>
      <w:r w:rsidRPr="005346DA">
        <w:rPr>
          <w:rFonts w:ascii="Times New Roman" w:eastAsia="Times New Roman" w:hAnsi="Times New Roman" w:cs="Times New Roman"/>
          <w:kern w:val="0"/>
          <w14:ligatures w14:val="none"/>
        </w:rPr>
        <w:t>mecA</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mecC</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vanA</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vanB</w:t>
      </w:r>
      <w:proofErr w:type="spellEnd"/>
      <w:r w:rsidRPr="005346DA">
        <w:rPr>
          <w:rFonts w:ascii="Times New Roman" w:eastAsia="Times New Roman" w:hAnsi="Times New Roman" w:cs="Times New Roman"/>
          <w:kern w:val="0"/>
          <w14:ligatures w14:val="none"/>
        </w:rPr>
        <w:t xml:space="preserve">, CTX-M, KPC, NDM, OXA and VIM. Roche positions this as a stewardship tool that allows earlier escalation for resistant organisms and earlier de-escalation when narrower therapy is appropriate.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investment point is that diagnostics have structurally better repeat economics than antibiotics. Each suspected infection can require a test. The product can become embedded in hospital workflow. The economic buyer can justify adoption if the test reduces ICU days, inappropriate antibiotic use, readmissions or mortality. The constraint is proof. Labs and hospitals will not pay premium prices unless the test changes management and has credible clinical utility.</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2.2 Vaccines: prevention is the cleanest AMR business model</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Vaccines reduce AMR through four channels: fewer infections, fewer antibiotic prescriptions, lower transmission of resistant strains, and lower severity when breakthrough infections occur. WHO estimates that optimal use of current vaccines at 90% coverage could avert up to 106,000 </w:t>
      </w:r>
      <w:r w:rsidRPr="005346DA">
        <w:rPr>
          <w:rFonts w:ascii="Times New Roman" w:eastAsia="Times New Roman" w:hAnsi="Times New Roman" w:cs="Times New Roman"/>
          <w:kern w:val="0"/>
          <w14:ligatures w14:val="none"/>
        </w:rPr>
        <w:lastRenderedPageBreak/>
        <w:t xml:space="preserve">AMR-associated deaths, 9.1m DALYs, US$861m of hospital costs, US$5.9bn of productivity losses and 142m defined daily doses of antibiotics annually.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strategic shift is from broad public-health vaccination to AMR-specific prevention. Pneumococcal, influenza, typhoid and Shigella vaccines already reduce antibiotic demand. The next layer is pathogen-specific prevention in high-risk settings, including surgery, ICU, oncology and transplant. The pre-surgical vaccine concept is especially interesting because the economic buyer can be the hospital or insurer. Preventing a post-operative MRSA, Klebsiella or Pseudomonas infection has direct financial value if it avoids an ICU stay or readmission.</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risk is development difficulty. Several bacterial vaccine programs have failed historically because bacterial pathogens are antigenically complex, patient populations are heterogeneous, and clinical endpoints can require large trials. That said, vaccines remain the most attractive AMR modality from a health-economic perspective.</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2.3 New antibiotics: necessary, high-value clinically, difficult commercially</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New antibiotics remain essential. The pipeline is thin. WHO’s 2025 antibacterial pipeline review found that clinical-stage antibacterial products declined from 97 in 2023 to 90 in 2025. Of these, 50 are traditional </w:t>
      </w:r>
      <w:proofErr w:type="spellStart"/>
      <w:r w:rsidRPr="005346DA">
        <w:rPr>
          <w:rFonts w:ascii="Times New Roman" w:eastAsia="Times New Roman" w:hAnsi="Times New Roman" w:cs="Times New Roman"/>
          <w:kern w:val="0"/>
          <w14:ligatures w14:val="none"/>
        </w:rPr>
        <w:t>antibacterials</w:t>
      </w:r>
      <w:proofErr w:type="spellEnd"/>
      <w:r w:rsidRPr="005346DA">
        <w:rPr>
          <w:rFonts w:ascii="Times New Roman" w:eastAsia="Times New Roman" w:hAnsi="Times New Roman" w:cs="Times New Roman"/>
          <w:kern w:val="0"/>
          <w14:ligatures w14:val="none"/>
        </w:rPr>
        <w:t xml:space="preserve"> and 40 are non-traditional approaches such as bacteriophages, antibodies and microbiome-modulating agents. Only 15 qualify as innovative, and only five are active against at least one WHO critical-priority bacterial pathogen.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commercial model remains fragile. Antibiotics are used for short courses. Stewardship programs restrict broad use. Reserve antibiotics are held back to preserve future utility. This creates a paradox: society needs new antibiotics, while the revenue model discourages antibiotic R&amp;D.</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Recent approvals still matter. GSK’s </w:t>
      </w:r>
      <w:proofErr w:type="spellStart"/>
      <w:r w:rsidRPr="005346DA">
        <w:rPr>
          <w:rFonts w:ascii="Times New Roman" w:eastAsia="Times New Roman" w:hAnsi="Times New Roman" w:cs="Times New Roman"/>
          <w:kern w:val="0"/>
          <w14:ligatures w14:val="none"/>
        </w:rPr>
        <w:t>Blujepa</w:t>
      </w:r>
      <w:proofErr w:type="spellEnd"/>
      <w:r w:rsidRPr="005346DA">
        <w:rPr>
          <w:rFonts w:ascii="Times New Roman" w:eastAsia="Times New Roman" w:hAnsi="Times New Roman" w:cs="Times New Roman"/>
          <w:kern w:val="0"/>
          <w14:ligatures w14:val="none"/>
        </w:rPr>
        <w:t xml:space="preserve">, or </w:t>
      </w:r>
      <w:proofErr w:type="spellStart"/>
      <w:r w:rsidRPr="005346DA">
        <w:rPr>
          <w:rFonts w:ascii="Times New Roman" w:eastAsia="Times New Roman" w:hAnsi="Times New Roman" w:cs="Times New Roman"/>
          <w:kern w:val="0"/>
          <w14:ligatures w14:val="none"/>
        </w:rPr>
        <w:t>gepotidacin</w:t>
      </w:r>
      <w:proofErr w:type="spellEnd"/>
      <w:r w:rsidRPr="005346DA">
        <w:rPr>
          <w:rFonts w:ascii="Times New Roman" w:eastAsia="Times New Roman" w:hAnsi="Times New Roman" w:cs="Times New Roman"/>
          <w:kern w:val="0"/>
          <w14:ligatures w14:val="none"/>
        </w:rPr>
        <w:t xml:space="preserve">, received FDA approval in 2025 for uncomplicated UTI in female adults and pediatric patients aged 12 years and older. It is the first new oral antibiotic class for uncomplicated UTI in nearly three decades. </w:t>
      </w:r>
      <w:proofErr w:type="spellStart"/>
      <w:r w:rsidRPr="005346DA">
        <w:rPr>
          <w:rFonts w:ascii="Times New Roman" w:eastAsia="Times New Roman" w:hAnsi="Times New Roman" w:cs="Times New Roman"/>
          <w:kern w:val="0"/>
          <w14:ligatures w14:val="none"/>
        </w:rPr>
        <w:t>Wockhardt’s</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Zaynich</w:t>
      </w:r>
      <w:proofErr w:type="spellEnd"/>
      <w:r w:rsidRPr="005346DA">
        <w:rPr>
          <w:rFonts w:ascii="Times New Roman" w:eastAsia="Times New Roman" w:hAnsi="Times New Roman" w:cs="Times New Roman"/>
          <w:kern w:val="0"/>
          <w14:ligatures w14:val="none"/>
        </w:rPr>
        <w:t xml:space="preserve"> received US FDA approval in May 2026 for adults with complicated UTI, including pyelonephritis, and represents the first FDA-approved NCE fully developed and commercialized by an Indian pharmaceutical company. </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2.4 Endolysins and phage-derived enzymes: scientifically credible, clinically under-proven</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Endolysins are enzymes derived from bacteriophages that cleave bacterial cell walls. The idea is attractive. They can be highly specific, rapidly bactericidal, and theoretically less prone to broad resistance. The clinical evidence remains mixed. </w:t>
      </w:r>
      <w:proofErr w:type="spellStart"/>
      <w:r w:rsidRPr="005346DA">
        <w:rPr>
          <w:rFonts w:ascii="Times New Roman" w:eastAsia="Times New Roman" w:hAnsi="Times New Roman" w:cs="Times New Roman"/>
          <w:kern w:val="0"/>
          <w14:ligatures w14:val="none"/>
        </w:rPr>
        <w:t>Exebacase</w:t>
      </w:r>
      <w:proofErr w:type="spellEnd"/>
      <w:r w:rsidRPr="005346DA">
        <w:rPr>
          <w:rFonts w:ascii="Times New Roman" w:eastAsia="Times New Roman" w:hAnsi="Times New Roman" w:cs="Times New Roman"/>
          <w:kern w:val="0"/>
          <w14:ligatures w14:val="none"/>
        </w:rPr>
        <w:t xml:space="preserve">, a first-in-class anti-staphylococcal lysin, failed to improve clinical response in a Phase 3 MRSA bacteremia and endocarditis trial, despite earlier proof-of-concept signals.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lastRenderedPageBreak/>
        <w:t>The conclusion is practical. Endolysins, phage therapy, CRISPR antimicrobials and antimicrobial peptides should sit in the long-dated optionality bucket. They may become important, but they are not yet the core investable AMR market.</w:t>
      </w:r>
    </w:p>
    <w:p w:rsidR="005346DA" w:rsidRPr="005346DA" w:rsidRDefault="00B81831" w:rsidP="005346DA">
      <w:pPr>
        <w:rPr>
          <w:rFonts w:ascii="Times New Roman" w:eastAsia="Times New Roman" w:hAnsi="Times New Roman" w:cs="Times New Roman"/>
          <w:kern w:val="0"/>
          <w14:ligatures w14:val="none"/>
        </w:rPr>
      </w:pPr>
      <w:r w:rsidRPr="00B81831">
        <w:rPr>
          <w:rFonts w:ascii="Times New Roman" w:eastAsia="Times New Roman" w:hAnsi="Times New Roman" w:cs="Times New Roman"/>
          <w:noProof/>
          <w:kern w:val="0"/>
        </w:rPr>
        <w:pict>
          <v:rect id="_x0000_i1026" alt="" style="width:468pt;height:.05pt;mso-width-percent:0;mso-height-percent:0;mso-width-percent:0;mso-height-percent:0" o:hralign="center" o:hrstd="t" o:hr="t" fillcolor="#a0a0a0" stroked="f"/>
        </w:pict>
      </w:r>
    </w:p>
    <w:p w:rsidR="005346DA" w:rsidRPr="005346DA" w:rsidRDefault="005346DA" w:rsidP="005346D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46DA">
        <w:rPr>
          <w:rFonts w:ascii="Times New Roman" w:eastAsia="Times New Roman" w:hAnsi="Times New Roman" w:cs="Times New Roman"/>
          <w:b/>
          <w:bCs/>
          <w:kern w:val="36"/>
          <w:sz w:val="48"/>
          <w:szCs w:val="48"/>
          <w14:ligatures w14:val="none"/>
        </w:rPr>
        <w:t>3. How Indian biopharma is tackling AMR</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India’s role in AMR is no longer limited to low-cost antibiotics. The market is moving across diagnostics, surveillance, stewardship, novel antibiotics and vaccines. The commercial question is which Indian players can move from access providers to innovation owners.</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3.1 Indian diagnostics: POCT is the most scalable near-term lever</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India’s diagnostic opportunity is driven by three realities: high infection burden, constrained lab infrastructure, and low tolerance for expensive centralized testing. The right product must be fast, affordable, robust and usable outside top-tier hospitals.</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proofErr w:type="spellStart"/>
      <w:r w:rsidRPr="005346DA">
        <w:rPr>
          <w:rFonts w:ascii="Times New Roman" w:eastAsia="Times New Roman" w:hAnsi="Times New Roman" w:cs="Times New Roman"/>
          <w:kern w:val="0"/>
          <w14:ligatures w14:val="none"/>
        </w:rPr>
        <w:t>Molbio</w:t>
      </w:r>
      <w:proofErr w:type="spellEnd"/>
      <w:r w:rsidRPr="005346DA">
        <w:rPr>
          <w:rFonts w:ascii="Times New Roman" w:eastAsia="Times New Roman" w:hAnsi="Times New Roman" w:cs="Times New Roman"/>
          <w:kern w:val="0"/>
          <w14:ligatures w14:val="none"/>
        </w:rPr>
        <w:t xml:space="preserve"> is the strongest Indian example. </w:t>
      </w:r>
      <w:proofErr w:type="spellStart"/>
      <w:r w:rsidRPr="005346DA">
        <w:rPr>
          <w:rFonts w:ascii="Times New Roman" w:eastAsia="Times New Roman" w:hAnsi="Times New Roman" w:cs="Times New Roman"/>
          <w:kern w:val="0"/>
          <w14:ligatures w14:val="none"/>
        </w:rPr>
        <w:t>Truenat</w:t>
      </w:r>
      <w:proofErr w:type="spellEnd"/>
      <w:r w:rsidRPr="005346DA">
        <w:rPr>
          <w:rFonts w:ascii="Times New Roman" w:eastAsia="Times New Roman" w:hAnsi="Times New Roman" w:cs="Times New Roman"/>
          <w:kern w:val="0"/>
          <w14:ligatures w14:val="none"/>
        </w:rPr>
        <w:t xml:space="preserve"> is a portable, battery-operated molecular platform that detects tuberculosis and rifampicin resistance in under one hour. WHO endorsed </w:t>
      </w:r>
      <w:proofErr w:type="spellStart"/>
      <w:r w:rsidRPr="005346DA">
        <w:rPr>
          <w:rFonts w:ascii="Times New Roman" w:eastAsia="Times New Roman" w:hAnsi="Times New Roman" w:cs="Times New Roman"/>
          <w:kern w:val="0"/>
          <w14:ligatures w14:val="none"/>
        </w:rPr>
        <w:t>Truenat</w:t>
      </w:r>
      <w:proofErr w:type="spellEnd"/>
      <w:r w:rsidRPr="005346DA">
        <w:rPr>
          <w:rFonts w:ascii="Times New Roman" w:eastAsia="Times New Roman" w:hAnsi="Times New Roman" w:cs="Times New Roman"/>
          <w:kern w:val="0"/>
          <w14:ligatures w14:val="none"/>
        </w:rPr>
        <w:t xml:space="preserve"> MTB, MTB Plus and MTB-RIF Dx as initial tests for TB diagnosis and rifampicin resistance detection. This matters for AMR because TB is India’s largest drug-resistance disease area by public-health priority.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proofErr w:type="spellStart"/>
      <w:r w:rsidRPr="005346DA">
        <w:rPr>
          <w:rFonts w:ascii="Times New Roman" w:eastAsia="Times New Roman" w:hAnsi="Times New Roman" w:cs="Times New Roman"/>
          <w:kern w:val="0"/>
          <w14:ligatures w14:val="none"/>
        </w:rPr>
        <w:t>XCyton</w:t>
      </w:r>
      <w:proofErr w:type="spellEnd"/>
      <w:r w:rsidRPr="005346DA">
        <w:rPr>
          <w:rFonts w:ascii="Times New Roman" w:eastAsia="Times New Roman" w:hAnsi="Times New Roman" w:cs="Times New Roman"/>
          <w:kern w:val="0"/>
          <w14:ligatures w14:val="none"/>
        </w:rPr>
        <w:t xml:space="preserve"> is focused on syndromic sepsis diagnostics. Its SES platform is positioned as a multiplex PCR test for bacteria, fungi, viruses and resistance genes. The claim is clinically relevant because sepsis outcomes are highly time-sensitive. The evidence base needs careful diligence, but the direction is correct: rapid pathogen and resistance identification can reduce blind broad-spectrum therapy.</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proofErr w:type="spellStart"/>
      <w:r w:rsidRPr="005346DA">
        <w:rPr>
          <w:rFonts w:ascii="Times New Roman" w:eastAsia="Times New Roman" w:hAnsi="Times New Roman" w:cs="Times New Roman"/>
          <w:kern w:val="0"/>
          <w14:ligatures w14:val="none"/>
        </w:rPr>
        <w:t>HiMedia</w:t>
      </w:r>
      <w:proofErr w:type="spellEnd"/>
      <w:r w:rsidRPr="005346DA">
        <w:rPr>
          <w:rFonts w:ascii="Times New Roman" w:eastAsia="Times New Roman" w:hAnsi="Times New Roman" w:cs="Times New Roman"/>
          <w:kern w:val="0"/>
          <w14:ligatures w14:val="none"/>
        </w:rPr>
        <w:t xml:space="preserve">, through NG-Test CARBA-5, addresses a narrower but important use case. NG-Test CARBA-5 detects five common </w:t>
      </w:r>
      <w:proofErr w:type="spellStart"/>
      <w:r w:rsidRPr="005346DA">
        <w:rPr>
          <w:rFonts w:ascii="Times New Roman" w:eastAsia="Times New Roman" w:hAnsi="Times New Roman" w:cs="Times New Roman"/>
          <w:kern w:val="0"/>
          <w14:ligatures w14:val="none"/>
        </w:rPr>
        <w:t>carbapenemase</w:t>
      </w:r>
      <w:proofErr w:type="spellEnd"/>
      <w:r w:rsidRPr="005346DA">
        <w:rPr>
          <w:rFonts w:ascii="Times New Roman" w:eastAsia="Times New Roman" w:hAnsi="Times New Roman" w:cs="Times New Roman"/>
          <w:kern w:val="0"/>
          <w14:ligatures w14:val="none"/>
        </w:rPr>
        <w:t xml:space="preserve"> families: KPC, OXA-48-like, IMP, VIM and NDM. The result is available in about 15 minutes from bacterial colonies. This is useful for hospital labs managing carbapenem-resistant Gram-negative infections.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Haystack Analytics adds a sequencing layer. Its TB One solution is a pre-sequencing kit for TB DNA library preparation. Its Omega TB platform is positioned as a universal drug-resistance test for TB, covering resistance markers and differentiating mixed infection, relapse and reinfection. The strategic value is highest for MDR-TB surveillance and personalized regimen selection.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investment conclusion is straightforward. Indian AMR diagnostics can scale if they meet three tests: low per-test cost, decentralized workflow, and treatment-linked output. Tests that only identify organisms without changing prescribing behavior will struggle.</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lastRenderedPageBreak/>
        <w:t>3.2 Indian policy: the state is building surveillance, but funding remains fragmented</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India launched its National Action Plan on AMR for 2017 to 2021. The plan focused on awareness, surveillance, infection prevention, optimized antimicrobial use, research and One Health coordination. The government launched NAP-AMR 2.0 in November 2025 as the next national framework for 2025 to 2029.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NCDC runs AMR containment initiatives and infection prevention work. ICMR runs the Antimicrobial Resistance Surveillance and Research Network, which collects resistance data across key pathogen groups in Indian hospitals. ICMR states that the network is used to inform treatment guidelines and resistance interventions.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India also uses prescribing controls and awareness tools. The Red Line campaign warns patients against using marked antibiotics without a prescription. Schedule H1 was introduced to restrict access to selected antimicrobials through prescription and record-keeping requirements.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On budget allocation, the public record is less clean than the policy architecture. I do not see a single consolidated AMR-specific Union budget number that captures NCDC surveillance, ICMR AMRSN, DBT-BIRAC innovation support, state AMR plans, NTEP diagnostics and hospital infection-control spending. The better analytical treatment is to view AMR spending as fragmented across public health surveillance, TB control, diagnostics, biotech innovation and hospital quality programs.</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3.3 Indian antibiotics: from generic access to selective innovation</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India’s antibiotic market historically centered on branded generics. The new phase has three layers: last-line generic access, licensed novel agents, and Indian-origin NCEs.</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First, a correction on the naming. The AMR product that matters globally is </w:t>
      </w:r>
      <w:proofErr w:type="spellStart"/>
      <w:r w:rsidRPr="005346DA">
        <w:rPr>
          <w:rFonts w:ascii="Times New Roman" w:eastAsia="Times New Roman" w:hAnsi="Times New Roman" w:cs="Times New Roman"/>
          <w:kern w:val="0"/>
          <w14:ligatures w14:val="none"/>
        </w:rPr>
        <w:t>Wockhardt’s</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Zaynich</w:t>
      </w:r>
      <w:proofErr w:type="spellEnd"/>
      <w:r w:rsidRPr="005346DA">
        <w:rPr>
          <w:rFonts w:ascii="Times New Roman" w:eastAsia="Times New Roman" w:hAnsi="Times New Roman" w:cs="Times New Roman"/>
          <w:kern w:val="0"/>
          <w14:ligatures w14:val="none"/>
        </w:rPr>
        <w:t xml:space="preserve">, not </w:t>
      </w:r>
      <w:proofErr w:type="spellStart"/>
      <w:r w:rsidRPr="005346DA">
        <w:rPr>
          <w:rFonts w:ascii="Times New Roman" w:eastAsia="Times New Roman" w:hAnsi="Times New Roman" w:cs="Times New Roman"/>
          <w:kern w:val="0"/>
          <w14:ligatures w14:val="none"/>
        </w:rPr>
        <w:t>Zynith</w:t>
      </w:r>
      <w:proofErr w:type="spellEnd"/>
      <w:r w:rsidRPr="005346DA">
        <w:rPr>
          <w:rFonts w:ascii="Times New Roman" w:eastAsia="Times New Roman" w:hAnsi="Times New Roman" w:cs="Times New Roman"/>
          <w:kern w:val="0"/>
          <w14:ligatures w14:val="none"/>
        </w:rPr>
        <w:t xml:space="preserve">. </w:t>
      </w:r>
      <w:proofErr w:type="spellStart"/>
      <w:r w:rsidRPr="005346DA">
        <w:rPr>
          <w:rFonts w:ascii="Times New Roman" w:eastAsia="Times New Roman" w:hAnsi="Times New Roman" w:cs="Times New Roman"/>
          <w:kern w:val="0"/>
          <w14:ligatures w14:val="none"/>
        </w:rPr>
        <w:t>Alkem’s</w:t>
      </w:r>
      <w:proofErr w:type="spellEnd"/>
      <w:r w:rsidRPr="005346DA">
        <w:rPr>
          <w:rFonts w:ascii="Times New Roman" w:eastAsia="Times New Roman" w:hAnsi="Times New Roman" w:cs="Times New Roman"/>
          <w:kern w:val="0"/>
          <w14:ligatures w14:val="none"/>
        </w:rPr>
        <w:t xml:space="preserve"> product is </w:t>
      </w:r>
      <w:proofErr w:type="spellStart"/>
      <w:r w:rsidRPr="005346DA">
        <w:rPr>
          <w:rFonts w:ascii="Times New Roman" w:eastAsia="Times New Roman" w:hAnsi="Times New Roman" w:cs="Times New Roman"/>
          <w:kern w:val="0"/>
          <w14:ligatures w14:val="none"/>
        </w:rPr>
        <w:t>Zidavi</w:t>
      </w:r>
      <w:proofErr w:type="spellEnd"/>
      <w:r w:rsidRPr="005346DA">
        <w:rPr>
          <w:rFonts w:ascii="Times New Roman" w:eastAsia="Times New Roman" w:hAnsi="Times New Roman" w:cs="Times New Roman"/>
          <w:kern w:val="0"/>
          <w14:ligatures w14:val="none"/>
        </w:rPr>
        <w:t xml:space="preserve">, a ceftazidime-avibactam brand launched in India in 2023 for MDR Gram-negative infections. </w:t>
      </w:r>
      <w:proofErr w:type="spellStart"/>
      <w:r w:rsidRPr="005346DA">
        <w:rPr>
          <w:rFonts w:ascii="Times New Roman" w:eastAsia="Times New Roman" w:hAnsi="Times New Roman" w:cs="Times New Roman"/>
          <w:kern w:val="0"/>
          <w14:ligatures w14:val="none"/>
        </w:rPr>
        <w:t>Zidavi</w:t>
      </w:r>
      <w:proofErr w:type="spellEnd"/>
      <w:r w:rsidRPr="005346DA">
        <w:rPr>
          <w:rFonts w:ascii="Times New Roman" w:eastAsia="Times New Roman" w:hAnsi="Times New Roman" w:cs="Times New Roman"/>
          <w:kern w:val="0"/>
          <w14:ligatures w14:val="none"/>
        </w:rPr>
        <w:t xml:space="preserve"> is a commercial access story. </w:t>
      </w:r>
      <w:proofErr w:type="spellStart"/>
      <w:r w:rsidRPr="005346DA">
        <w:rPr>
          <w:rFonts w:ascii="Times New Roman" w:eastAsia="Times New Roman" w:hAnsi="Times New Roman" w:cs="Times New Roman"/>
          <w:kern w:val="0"/>
          <w14:ligatures w14:val="none"/>
        </w:rPr>
        <w:t>Zaynich</w:t>
      </w:r>
      <w:proofErr w:type="spellEnd"/>
      <w:r w:rsidRPr="005346DA">
        <w:rPr>
          <w:rFonts w:ascii="Times New Roman" w:eastAsia="Times New Roman" w:hAnsi="Times New Roman" w:cs="Times New Roman"/>
          <w:kern w:val="0"/>
          <w14:ligatures w14:val="none"/>
        </w:rPr>
        <w:t xml:space="preserve"> is an innovation story.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b/>
          <w:bCs/>
          <w:kern w:val="0"/>
          <w14:ligatures w14:val="none"/>
        </w:rPr>
        <w:t xml:space="preserve">Case study 1: </w:t>
      </w:r>
      <w:proofErr w:type="spellStart"/>
      <w:r w:rsidRPr="005346DA">
        <w:rPr>
          <w:rFonts w:ascii="Times New Roman" w:eastAsia="Times New Roman" w:hAnsi="Times New Roman" w:cs="Times New Roman"/>
          <w:b/>
          <w:bCs/>
          <w:kern w:val="0"/>
          <w14:ligatures w14:val="none"/>
        </w:rPr>
        <w:t>Zaynich</w:t>
      </w:r>
      <w:proofErr w:type="spellEnd"/>
      <w:r w:rsidRPr="005346DA">
        <w:rPr>
          <w:rFonts w:ascii="Times New Roman" w:eastAsia="Times New Roman" w:hAnsi="Times New Roman" w:cs="Times New Roman"/>
          <w:b/>
          <w:bCs/>
          <w:kern w:val="0"/>
          <w14:ligatures w14:val="none"/>
        </w:rPr>
        <w:t xml:space="preserve">, </w:t>
      </w:r>
      <w:proofErr w:type="spellStart"/>
      <w:r w:rsidRPr="005346DA">
        <w:rPr>
          <w:rFonts w:ascii="Times New Roman" w:eastAsia="Times New Roman" w:hAnsi="Times New Roman" w:cs="Times New Roman"/>
          <w:b/>
          <w:bCs/>
          <w:kern w:val="0"/>
          <w14:ligatures w14:val="none"/>
        </w:rPr>
        <w:t>Wockhardt</w:t>
      </w:r>
      <w:proofErr w:type="spellEnd"/>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proofErr w:type="spellStart"/>
      <w:r w:rsidRPr="005346DA">
        <w:rPr>
          <w:rFonts w:ascii="Times New Roman" w:eastAsia="Times New Roman" w:hAnsi="Times New Roman" w:cs="Times New Roman"/>
          <w:kern w:val="0"/>
          <w14:ligatures w14:val="none"/>
        </w:rPr>
        <w:t>Zaynich</w:t>
      </w:r>
      <w:proofErr w:type="spellEnd"/>
      <w:r w:rsidRPr="005346DA">
        <w:rPr>
          <w:rFonts w:ascii="Times New Roman" w:eastAsia="Times New Roman" w:hAnsi="Times New Roman" w:cs="Times New Roman"/>
          <w:kern w:val="0"/>
          <w14:ligatures w14:val="none"/>
        </w:rPr>
        <w:t xml:space="preserve"> is cefepime plus </w:t>
      </w:r>
      <w:proofErr w:type="spellStart"/>
      <w:r w:rsidRPr="005346DA">
        <w:rPr>
          <w:rFonts w:ascii="Times New Roman" w:eastAsia="Times New Roman" w:hAnsi="Times New Roman" w:cs="Times New Roman"/>
          <w:kern w:val="0"/>
          <w14:ligatures w14:val="none"/>
        </w:rPr>
        <w:t>zidebactam</w:t>
      </w:r>
      <w:proofErr w:type="spellEnd"/>
      <w:r w:rsidRPr="005346DA">
        <w:rPr>
          <w:rFonts w:ascii="Times New Roman" w:eastAsia="Times New Roman" w:hAnsi="Times New Roman" w:cs="Times New Roman"/>
          <w:kern w:val="0"/>
          <w14:ligatures w14:val="none"/>
        </w:rPr>
        <w:t xml:space="preserve">. It is a novel IV antibiotic for complicated UTI, including pyelonephritis, caused by susceptible Gram-negative pathogens. FDA approval in May 2026 is material because the product was fully developed and commercialized by an Indian pharma company and because the Phase 3 ENHANCE-1 study showed a composite clinical cure and microbiologic response of 89.0% versus 68.4% for meropenem.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lastRenderedPageBreak/>
        <w:t xml:space="preserve">The mechanism is differentiated. </w:t>
      </w:r>
      <w:proofErr w:type="spellStart"/>
      <w:r w:rsidRPr="005346DA">
        <w:rPr>
          <w:rFonts w:ascii="Times New Roman" w:eastAsia="Times New Roman" w:hAnsi="Times New Roman" w:cs="Times New Roman"/>
          <w:kern w:val="0"/>
          <w14:ligatures w14:val="none"/>
        </w:rPr>
        <w:t>Zidebactam</w:t>
      </w:r>
      <w:proofErr w:type="spellEnd"/>
      <w:r w:rsidRPr="005346DA">
        <w:rPr>
          <w:rFonts w:ascii="Times New Roman" w:eastAsia="Times New Roman" w:hAnsi="Times New Roman" w:cs="Times New Roman"/>
          <w:kern w:val="0"/>
          <w14:ligatures w14:val="none"/>
        </w:rPr>
        <w:t xml:space="preserve"> is not just a classical beta-lactamase inhibitor. The combination binds multiple penicillin-binding proteins and maintains activity even in the presence of several beta-lactamase mechanisms, including </w:t>
      </w:r>
      <w:proofErr w:type="spellStart"/>
      <w:r w:rsidRPr="005346DA">
        <w:rPr>
          <w:rFonts w:ascii="Times New Roman" w:eastAsia="Times New Roman" w:hAnsi="Times New Roman" w:cs="Times New Roman"/>
          <w:kern w:val="0"/>
          <w14:ligatures w14:val="none"/>
        </w:rPr>
        <w:t>metallo</w:t>
      </w:r>
      <w:proofErr w:type="spellEnd"/>
      <w:r w:rsidRPr="005346DA">
        <w:rPr>
          <w:rFonts w:ascii="Times New Roman" w:eastAsia="Times New Roman" w:hAnsi="Times New Roman" w:cs="Times New Roman"/>
          <w:kern w:val="0"/>
          <w14:ligatures w14:val="none"/>
        </w:rPr>
        <w:t xml:space="preserve">-beta-lactamases. That is clinically relevant in India, where NDM and other </w:t>
      </w:r>
      <w:proofErr w:type="spellStart"/>
      <w:r w:rsidRPr="005346DA">
        <w:rPr>
          <w:rFonts w:ascii="Times New Roman" w:eastAsia="Times New Roman" w:hAnsi="Times New Roman" w:cs="Times New Roman"/>
          <w:kern w:val="0"/>
          <w14:ligatures w14:val="none"/>
        </w:rPr>
        <w:t>carbapenemase</w:t>
      </w:r>
      <w:proofErr w:type="spellEnd"/>
      <w:r w:rsidRPr="005346DA">
        <w:rPr>
          <w:rFonts w:ascii="Times New Roman" w:eastAsia="Times New Roman" w:hAnsi="Times New Roman" w:cs="Times New Roman"/>
          <w:kern w:val="0"/>
          <w14:ligatures w14:val="none"/>
        </w:rPr>
        <w:t xml:space="preserve"> mechanisms are central resistance problems.</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The commercial questions remain. Peak sales depend on US launch execution, hospital formulary access, stewardship positioning, price, supply quality and expansion beyond </w:t>
      </w:r>
      <w:proofErr w:type="spellStart"/>
      <w:r w:rsidRPr="005346DA">
        <w:rPr>
          <w:rFonts w:ascii="Times New Roman" w:eastAsia="Times New Roman" w:hAnsi="Times New Roman" w:cs="Times New Roman"/>
          <w:kern w:val="0"/>
          <w14:ligatures w14:val="none"/>
        </w:rPr>
        <w:t>cUTI</w:t>
      </w:r>
      <w:proofErr w:type="spellEnd"/>
      <w:r w:rsidRPr="005346DA">
        <w:rPr>
          <w:rFonts w:ascii="Times New Roman" w:eastAsia="Times New Roman" w:hAnsi="Times New Roman" w:cs="Times New Roman"/>
          <w:kern w:val="0"/>
          <w14:ligatures w14:val="none"/>
        </w:rPr>
        <w:t xml:space="preserve"> into </w:t>
      </w:r>
      <w:proofErr w:type="spellStart"/>
      <w:r w:rsidRPr="005346DA">
        <w:rPr>
          <w:rFonts w:ascii="Times New Roman" w:eastAsia="Times New Roman" w:hAnsi="Times New Roman" w:cs="Times New Roman"/>
          <w:kern w:val="0"/>
          <w14:ligatures w14:val="none"/>
        </w:rPr>
        <w:t>cIAI</w:t>
      </w:r>
      <w:proofErr w:type="spellEnd"/>
      <w:r w:rsidRPr="005346DA">
        <w:rPr>
          <w:rFonts w:ascii="Times New Roman" w:eastAsia="Times New Roman" w:hAnsi="Times New Roman" w:cs="Times New Roman"/>
          <w:kern w:val="0"/>
          <w14:ligatures w14:val="none"/>
        </w:rPr>
        <w:t>, HABP and VABP. The approval validates Indian anti-infective innovation. It does not remove the antibiotic business-model constraint.</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b/>
          <w:bCs/>
          <w:kern w:val="0"/>
          <w14:ligatures w14:val="none"/>
        </w:rPr>
        <w:t xml:space="preserve">Case study 2: </w:t>
      </w:r>
      <w:proofErr w:type="spellStart"/>
      <w:r w:rsidRPr="005346DA">
        <w:rPr>
          <w:rFonts w:ascii="Times New Roman" w:eastAsia="Times New Roman" w:hAnsi="Times New Roman" w:cs="Times New Roman"/>
          <w:b/>
          <w:bCs/>
          <w:kern w:val="0"/>
          <w14:ligatures w14:val="none"/>
        </w:rPr>
        <w:t>Plazomicin</w:t>
      </w:r>
      <w:proofErr w:type="spellEnd"/>
      <w:r w:rsidRPr="005346DA">
        <w:rPr>
          <w:rFonts w:ascii="Times New Roman" w:eastAsia="Times New Roman" w:hAnsi="Times New Roman" w:cs="Times New Roman"/>
          <w:b/>
          <w:bCs/>
          <w:kern w:val="0"/>
          <w14:ligatures w14:val="none"/>
        </w:rPr>
        <w:t>, Cipla</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Cipla launched ZEMDRI, or </w:t>
      </w:r>
      <w:proofErr w:type="spellStart"/>
      <w:r w:rsidRPr="005346DA">
        <w:rPr>
          <w:rFonts w:ascii="Times New Roman" w:eastAsia="Times New Roman" w:hAnsi="Times New Roman" w:cs="Times New Roman"/>
          <w:kern w:val="0"/>
          <w14:ligatures w14:val="none"/>
        </w:rPr>
        <w:t>plazomicin</w:t>
      </w:r>
      <w:proofErr w:type="spellEnd"/>
      <w:r w:rsidRPr="005346DA">
        <w:rPr>
          <w:rFonts w:ascii="Times New Roman" w:eastAsia="Times New Roman" w:hAnsi="Times New Roman" w:cs="Times New Roman"/>
          <w:kern w:val="0"/>
          <w14:ligatures w14:val="none"/>
        </w:rPr>
        <w:t xml:space="preserve">, in India for complicated UTI, including pyelonephritis. </w:t>
      </w:r>
      <w:proofErr w:type="spellStart"/>
      <w:r w:rsidRPr="005346DA">
        <w:rPr>
          <w:rFonts w:ascii="Times New Roman" w:eastAsia="Times New Roman" w:hAnsi="Times New Roman" w:cs="Times New Roman"/>
          <w:kern w:val="0"/>
          <w14:ligatures w14:val="none"/>
        </w:rPr>
        <w:t>Plazomicin</w:t>
      </w:r>
      <w:proofErr w:type="spellEnd"/>
      <w:r w:rsidRPr="005346DA">
        <w:rPr>
          <w:rFonts w:ascii="Times New Roman" w:eastAsia="Times New Roman" w:hAnsi="Times New Roman" w:cs="Times New Roman"/>
          <w:kern w:val="0"/>
          <w14:ligatures w14:val="none"/>
        </w:rPr>
        <w:t xml:space="preserve"> is an IV aminoglycoside with activity against selected multidrug-resistant Gram-negative bacteria. Cipla’s launch is strategically relevant because it expands the Indian reserve-antibiotic toolkit in CRE-linked urinary infections.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The product is not a broad mass-market antibiotic. It is a stewardship product. The correct commercial model is targeted use in resistant </w:t>
      </w:r>
      <w:proofErr w:type="spellStart"/>
      <w:r w:rsidRPr="005346DA">
        <w:rPr>
          <w:rFonts w:ascii="Times New Roman" w:eastAsia="Times New Roman" w:hAnsi="Times New Roman" w:cs="Times New Roman"/>
          <w:kern w:val="0"/>
          <w14:ligatures w14:val="none"/>
        </w:rPr>
        <w:t>cUTI</w:t>
      </w:r>
      <w:proofErr w:type="spellEnd"/>
      <w:r w:rsidRPr="005346DA">
        <w:rPr>
          <w:rFonts w:ascii="Times New Roman" w:eastAsia="Times New Roman" w:hAnsi="Times New Roman" w:cs="Times New Roman"/>
          <w:kern w:val="0"/>
          <w14:ligatures w14:val="none"/>
        </w:rPr>
        <w:t>, ideally after susceptibility evidence. That makes diagnostics critical. Without rapid testing and stewardship, either usage remains too low or irrational use accelerates resistance.</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b/>
          <w:bCs/>
          <w:kern w:val="0"/>
          <w14:ligatures w14:val="none"/>
        </w:rPr>
        <w:t>Zydus: AMR-adjacent scale rather than pure AMR innovation</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For Zydus, the AMR link is more portfolio-adjacent. The company has scale in Indian formulations, hospital products and vaccines. In anti-infectives, its relevance is access and hospital presence through branded generic injectables rather than a disclosed </w:t>
      </w:r>
      <w:proofErr w:type="spellStart"/>
      <w:r w:rsidRPr="005346DA">
        <w:rPr>
          <w:rFonts w:ascii="Times New Roman" w:eastAsia="Times New Roman" w:hAnsi="Times New Roman" w:cs="Times New Roman"/>
          <w:kern w:val="0"/>
          <w14:ligatures w14:val="none"/>
        </w:rPr>
        <w:t>Zaynich</w:t>
      </w:r>
      <w:proofErr w:type="spellEnd"/>
      <w:r w:rsidRPr="005346DA">
        <w:rPr>
          <w:rFonts w:ascii="Times New Roman" w:eastAsia="Times New Roman" w:hAnsi="Times New Roman" w:cs="Times New Roman"/>
          <w:kern w:val="0"/>
          <w14:ligatures w14:val="none"/>
        </w:rPr>
        <w:t>-style AMR NCE. This matters because hospitals still need reliable supply of carbapenems, beta-lactam combinations and other severe-infection drugs. The margin and strategic value are lower than patented NCEs, but the channel relevance is real.</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The stronger AMR angle for Zydus is vaccines. Zydus has over 20 vaccine products in its portfolio, WHO prequalification for typhoid conjugate and rabies vaccines, and an established vaccine technology center. </w:t>
      </w:r>
      <w:proofErr w:type="spellStart"/>
      <w:r w:rsidRPr="005346DA">
        <w:rPr>
          <w:rFonts w:ascii="Times New Roman" w:eastAsia="Times New Roman" w:hAnsi="Times New Roman" w:cs="Times New Roman"/>
          <w:kern w:val="0"/>
          <w14:ligatures w14:val="none"/>
        </w:rPr>
        <w:t>ZyVac</w:t>
      </w:r>
      <w:proofErr w:type="spellEnd"/>
      <w:r w:rsidRPr="005346DA">
        <w:rPr>
          <w:rFonts w:ascii="Times New Roman" w:eastAsia="Times New Roman" w:hAnsi="Times New Roman" w:cs="Times New Roman"/>
          <w:kern w:val="0"/>
          <w14:ligatures w14:val="none"/>
        </w:rPr>
        <w:t xml:space="preserve"> TCV is WHO prequalified and indicated for active immunization against Salmonella typhi in individuals aged 6 months to 65 years.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Typhoid vaccination has AMR relevance because fluoroquinolone-resistant and extensively drug-resistant typhoid are major South Asian concerns. Preventing typhoid reduces antibiotic use and lowers transmission of resistant strains. This gives Zydus a credible AMR-prevention angle, although it is not yet an AMR-specific equity thesis.</w:t>
      </w:r>
    </w:p>
    <w:p w:rsidR="005346DA" w:rsidRPr="005346DA" w:rsidRDefault="005346DA" w:rsidP="005346DA">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5346DA">
        <w:rPr>
          <w:rFonts w:ascii="Times New Roman" w:eastAsia="Times New Roman" w:hAnsi="Times New Roman" w:cs="Times New Roman"/>
          <w:b/>
          <w:bCs/>
          <w:kern w:val="0"/>
          <w:sz w:val="36"/>
          <w:szCs w:val="36"/>
          <w14:ligatures w14:val="none"/>
        </w:rPr>
        <w:t>3.4 Indian vaccines: Bharat Biotech is the clearest AMR prevention case</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lastRenderedPageBreak/>
        <w:t xml:space="preserve">Bharat Biotech is the most important Indian AMR vaccine case study. The company is reportedly developing vaccines that could be administered before surgery to prevent hospital-acquired infections. That is a differentiated commercial model because it links vaccine value to avoided surgical infection cost. Management has indicated that vaccines could be given around one month before elective surgery for specific high-risk pathogens.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The pipeline is broader than pre-surgical AMR. Bharat Biotech has four novel vaccines entering Phase 3 efficacy trials, including a TB candidate expected to enroll more than 30,000 participants, and vaccines for Shigella, Salmonella and Chikungunya. The company has also in-licensed GSK’s Shigella vaccine candidate for further development, Phase 3 trials, regulatory advancement and large-scale manufacturing in low- and middle-income countries. </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AMR logic is strongest in Shigella, Salmonella and TB. These pathogens drive high antibiotic consumption and significant resistance pressure in LMICs. A successful vaccine can reduce illness, antibiotic exposure and resistant transmission. Bharat’s advantage is not only R&amp;D. It is manufacturing scale, LMIC distribution experience and cost positioning.</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key debate is timing. Vaccine development is long-cycle. The pre-surgical vaccine model will need trial design clarity, pathogen selection, payer acceptance and hospital protocol integration. If proven, it could create a new prevention category. If not, the value remains in conventional infectious-disease vaccines.</w:t>
      </w:r>
    </w:p>
    <w:p w:rsidR="005346DA" w:rsidRPr="005346DA" w:rsidRDefault="00B81831" w:rsidP="005346DA">
      <w:pPr>
        <w:rPr>
          <w:rFonts w:ascii="Times New Roman" w:eastAsia="Times New Roman" w:hAnsi="Times New Roman" w:cs="Times New Roman"/>
          <w:kern w:val="0"/>
          <w14:ligatures w14:val="none"/>
        </w:rPr>
      </w:pPr>
      <w:r w:rsidRPr="00B81831">
        <w:rPr>
          <w:rFonts w:ascii="Times New Roman" w:eastAsia="Times New Roman" w:hAnsi="Times New Roman" w:cs="Times New Roman"/>
          <w:noProof/>
          <w:kern w:val="0"/>
        </w:rPr>
        <w:pict>
          <v:rect id="_x0000_i1025" alt="" style="width:468pt;height:.05pt;mso-width-percent:0;mso-height-percent:0;mso-width-percent:0;mso-height-percent:0" o:hralign="center" o:hrstd="t" o:hr="t" fillcolor="#a0a0a0" stroked="f"/>
        </w:pict>
      </w:r>
    </w:p>
    <w:p w:rsidR="005346DA" w:rsidRPr="005346DA" w:rsidRDefault="005346DA" w:rsidP="005346DA">
      <w:pPr>
        <w:spacing w:before="100" w:beforeAutospacing="1" w:after="100" w:afterAutospacing="1"/>
        <w:outlineLvl w:val="0"/>
        <w:rPr>
          <w:rFonts w:ascii="Times New Roman" w:eastAsia="Times New Roman" w:hAnsi="Times New Roman" w:cs="Times New Roman"/>
          <w:b/>
          <w:bCs/>
          <w:kern w:val="36"/>
          <w:sz w:val="48"/>
          <w:szCs w:val="48"/>
          <w14:ligatures w14:val="none"/>
        </w:rPr>
      </w:pPr>
      <w:r w:rsidRPr="005346DA">
        <w:rPr>
          <w:rFonts w:ascii="Times New Roman" w:eastAsia="Times New Roman" w:hAnsi="Times New Roman" w:cs="Times New Roman"/>
          <w:b/>
          <w:bCs/>
          <w:kern w:val="36"/>
          <w:sz w:val="48"/>
          <w:szCs w:val="48"/>
          <w14:ligatures w14:val="none"/>
        </w:rPr>
        <w:t>Closing view</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AMR is clinically large, economically disruptive and commercially uneven. Diagnostics and vaccines offer the cleanest business models because they either shorten the treatment decision cycle or prevent the infection. Novel antibiotics remain essential, but stewardship suppresses volume and forces companies to rely on premium pricing, grants, pull incentives or narrow high-acuity use.</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 xml:space="preserve">For India, the strategic shift is visible. </w:t>
      </w:r>
      <w:proofErr w:type="spellStart"/>
      <w:r w:rsidRPr="005346DA">
        <w:rPr>
          <w:rFonts w:ascii="Times New Roman" w:eastAsia="Times New Roman" w:hAnsi="Times New Roman" w:cs="Times New Roman"/>
          <w:kern w:val="0"/>
          <w14:ligatures w14:val="none"/>
        </w:rPr>
        <w:t>Molbio</w:t>
      </w:r>
      <w:proofErr w:type="spellEnd"/>
      <w:r w:rsidRPr="005346DA">
        <w:rPr>
          <w:rFonts w:ascii="Times New Roman" w:eastAsia="Times New Roman" w:hAnsi="Times New Roman" w:cs="Times New Roman"/>
          <w:kern w:val="0"/>
          <w14:ligatures w14:val="none"/>
        </w:rPr>
        <w:t xml:space="preserve"> and </w:t>
      </w:r>
      <w:proofErr w:type="spellStart"/>
      <w:r w:rsidRPr="005346DA">
        <w:rPr>
          <w:rFonts w:ascii="Times New Roman" w:eastAsia="Times New Roman" w:hAnsi="Times New Roman" w:cs="Times New Roman"/>
          <w:kern w:val="0"/>
          <w14:ligatures w14:val="none"/>
        </w:rPr>
        <w:t>XCyton</w:t>
      </w:r>
      <w:proofErr w:type="spellEnd"/>
      <w:r w:rsidRPr="005346DA">
        <w:rPr>
          <w:rFonts w:ascii="Times New Roman" w:eastAsia="Times New Roman" w:hAnsi="Times New Roman" w:cs="Times New Roman"/>
          <w:kern w:val="0"/>
          <w14:ligatures w14:val="none"/>
        </w:rPr>
        <w:t xml:space="preserve"> show how India can build decentralized AMR diagnostics. </w:t>
      </w:r>
      <w:proofErr w:type="spellStart"/>
      <w:r w:rsidRPr="005346DA">
        <w:rPr>
          <w:rFonts w:ascii="Times New Roman" w:eastAsia="Times New Roman" w:hAnsi="Times New Roman" w:cs="Times New Roman"/>
          <w:kern w:val="0"/>
          <w14:ligatures w14:val="none"/>
        </w:rPr>
        <w:t>Wockhardt</w:t>
      </w:r>
      <w:proofErr w:type="spellEnd"/>
      <w:r w:rsidRPr="005346DA">
        <w:rPr>
          <w:rFonts w:ascii="Times New Roman" w:eastAsia="Times New Roman" w:hAnsi="Times New Roman" w:cs="Times New Roman"/>
          <w:kern w:val="0"/>
          <w14:ligatures w14:val="none"/>
        </w:rPr>
        <w:t xml:space="preserve"> shows that Indian pharma can originate globally relevant antibiotics. Cipla and </w:t>
      </w:r>
      <w:proofErr w:type="spellStart"/>
      <w:r w:rsidRPr="005346DA">
        <w:rPr>
          <w:rFonts w:ascii="Times New Roman" w:eastAsia="Times New Roman" w:hAnsi="Times New Roman" w:cs="Times New Roman"/>
          <w:kern w:val="0"/>
          <w14:ligatures w14:val="none"/>
        </w:rPr>
        <w:t>Alkem</w:t>
      </w:r>
      <w:proofErr w:type="spellEnd"/>
      <w:r w:rsidRPr="005346DA">
        <w:rPr>
          <w:rFonts w:ascii="Times New Roman" w:eastAsia="Times New Roman" w:hAnsi="Times New Roman" w:cs="Times New Roman"/>
          <w:kern w:val="0"/>
          <w14:ligatures w14:val="none"/>
        </w:rPr>
        <w:t xml:space="preserve"> show the access layer for reserve therapy. Zydus provides a vaccine and hospital-channel angle. Bharat Biotech is the clearest prevention-led AMR platform.</w:t>
      </w:r>
    </w:p>
    <w:p w:rsidR="005346DA" w:rsidRPr="005346DA" w:rsidRDefault="005346DA" w:rsidP="005346DA">
      <w:pPr>
        <w:spacing w:before="100" w:beforeAutospacing="1" w:after="100" w:afterAutospacing="1"/>
        <w:rPr>
          <w:rFonts w:ascii="Times New Roman" w:eastAsia="Times New Roman" w:hAnsi="Times New Roman" w:cs="Times New Roman"/>
          <w:kern w:val="0"/>
          <w14:ligatures w14:val="none"/>
        </w:rPr>
      </w:pPr>
      <w:r w:rsidRPr="005346DA">
        <w:rPr>
          <w:rFonts w:ascii="Times New Roman" w:eastAsia="Times New Roman" w:hAnsi="Times New Roman" w:cs="Times New Roman"/>
          <w:kern w:val="0"/>
          <w14:ligatures w14:val="none"/>
        </w:rPr>
        <w:t>The investable hierarchy is prevention first, diagnostics second, targeted reserve therapy third. Long-dated modalities such as phage, CRISPR, AMPs and endolysins remain scientifically important, but they should be treated as optionality until clinical and regulatory evidence improves.</w:t>
      </w:r>
    </w:p>
    <w:p w:rsidR="007B788F" w:rsidRDefault="007B788F"/>
    <w:sectPr w:rsidR="007B7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6DA"/>
    <w:rsid w:val="005346DA"/>
    <w:rsid w:val="007B788F"/>
    <w:rsid w:val="0098646A"/>
    <w:rsid w:val="00B81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9A1631-CEC9-D044-A7F4-C4E50E8D4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346DA"/>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346DA"/>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6DA"/>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46DA"/>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5346DA"/>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346DA"/>
    <w:rPr>
      <w:b/>
      <w:bCs/>
    </w:rPr>
  </w:style>
  <w:style w:type="paragraph" w:styleId="HTMLPreformatted">
    <w:name w:val="HTML Preformatted"/>
    <w:basedOn w:val="Normal"/>
    <w:link w:val="HTMLPreformattedChar"/>
    <w:uiPriority w:val="99"/>
    <w:semiHidden/>
    <w:unhideWhenUsed/>
    <w:rsid w:val="00534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346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346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0547464">
      <w:bodyDiv w:val="1"/>
      <w:marLeft w:val="0"/>
      <w:marRight w:val="0"/>
      <w:marTop w:val="0"/>
      <w:marBottom w:val="0"/>
      <w:divBdr>
        <w:top w:val="none" w:sz="0" w:space="0" w:color="auto"/>
        <w:left w:val="none" w:sz="0" w:space="0" w:color="auto"/>
        <w:bottom w:val="none" w:sz="0" w:space="0" w:color="auto"/>
        <w:right w:val="none" w:sz="0" w:space="0" w:color="auto"/>
      </w:divBdr>
      <w:divsChild>
        <w:div w:id="357049436">
          <w:marLeft w:val="0"/>
          <w:marRight w:val="0"/>
          <w:marTop w:val="0"/>
          <w:marBottom w:val="0"/>
          <w:divBdr>
            <w:top w:val="none" w:sz="0" w:space="0" w:color="auto"/>
            <w:left w:val="none" w:sz="0" w:space="0" w:color="auto"/>
            <w:bottom w:val="none" w:sz="0" w:space="0" w:color="auto"/>
            <w:right w:val="none" w:sz="0" w:space="0" w:color="auto"/>
          </w:divBdr>
          <w:divsChild>
            <w:div w:id="1735160160">
              <w:marLeft w:val="0"/>
              <w:marRight w:val="0"/>
              <w:marTop w:val="0"/>
              <w:marBottom w:val="0"/>
              <w:divBdr>
                <w:top w:val="none" w:sz="0" w:space="0" w:color="auto"/>
                <w:left w:val="none" w:sz="0" w:space="0" w:color="auto"/>
                <w:bottom w:val="none" w:sz="0" w:space="0" w:color="auto"/>
                <w:right w:val="none" w:sz="0" w:space="0" w:color="auto"/>
              </w:divBdr>
              <w:divsChild>
                <w:div w:id="1671061220">
                  <w:marLeft w:val="0"/>
                  <w:marRight w:val="0"/>
                  <w:marTop w:val="0"/>
                  <w:marBottom w:val="0"/>
                  <w:divBdr>
                    <w:top w:val="none" w:sz="0" w:space="0" w:color="auto"/>
                    <w:left w:val="none" w:sz="0" w:space="0" w:color="auto"/>
                    <w:bottom w:val="none" w:sz="0" w:space="0" w:color="auto"/>
                    <w:right w:val="none" w:sz="0" w:space="0" w:color="auto"/>
                  </w:divBdr>
                  <w:divsChild>
                    <w:div w:id="371616081">
                      <w:marLeft w:val="0"/>
                      <w:marRight w:val="0"/>
                      <w:marTop w:val="0"/>
                      <w:marBottom w:val="0"/>
                      <w:divBdr>
                        <w:top w:val="none" w:sz="0" w:space="0" w:color="auto"/>
                        <w:left w:val="none" w:sz="0" w:space="0" w:color="auto"/>
                        <w:bottom w:val="none" w:sz="0" w:space="0" w:color="auto"/>
                        <w:right w:val="none" w:sz="0" w:space="0" w:color="auto"/>
                      </w:divBdr>
                      <w:divsChild>
                        <w:div w:id="341517925">
                          <w:marLeft w:val="0"/>
                          <w:marRight w:val="0"/>
                          <w:marTop w:val="0"/>
                          <w:marBottom w:val="0"/>
                          <w:divBdr>
                            <w:top w:val="none" w:sz="0" w:space="0" w:color="auto"/>
                            <w:left w:val="none" w:sz="0" w:space="0" w:color="auto"/>
                            <w:bottom w:val="none" w:sz="0" w:space="0" w:color="auto"/>
                            <w:right w:val="none" w:sz="0" w:space="0" w:color="auto"/>
                          </w:divBdr>
                          <w:divsChild>
                            <w:div w:id="1904607649">
                              <w:marLeft w:val="0"/>
                              <w:marRight w:val="0"/>
                              <w:marTop w:val="0"/>
                              <w:marBottom w:val="0"/>
                              <w:divBdr>
                                <w:top w:val="none" w:sz="0" w:space="0" w:color="auto"/>
                                <w:left w:val="none" w:sz="0" w:space="0" w:color="auto"/>
                                <w:bottom w:val="none" w:sz="0" w:space="0" w:color="auto"/>
                                <w:right w:val="none" w:sz="0" w:space="0" w:color="auto"/>
                              </w:divBdr>
                              <w:divsChild>
                                <w:div w:id="1638878743">
                                  <w:marLeft w:val="0"/>
                                  <w:marRight w:val="0"/>
                                  <w:marTop w:val="0"/>
                                  <w:marBottom w:val="0"/>
                                  <w:divBdr>
                                    <w:top w:val="none" w:sz="0" w:space="0" w:color="auto"/>
                                    <w:left w:val="none" w:sz="0" w:space="0" w:color="auto"/>
                                    <w:bottom w:val="none" w:sz="0" w:space="0" w:color="auto"/>
                                    <w:right w:val="none" w:sz="0" w:space="0" w:color="auto"/>
                                  </w:divBdr>
                                  <w:divsChild>
                                    <w:div w:id="150409730">
                                      <w:marLeft w:val="0"/>
                                      <w:marRight w:val="0"/>
                                      <w:marTop w:val="0"/>
                                      <w:marBottom w:val="0"/>
                                      <w:divBdr>
                                        <w:top w:val="none" w:sz="0" w:space="0" w:color="auto"/>
                                        <w:left w:val="none" w:sz="0" w:space="0" w:color="auto"/>
                                        <w:bottom w:val="none" w:sz="0" w:space="0" w:color="auto"/>
                                        <w:right w:val="none" w:sz="0" w:space="0" w:color="auto"/>
                                      </w:divBdr>
                                      <w:divsChild>
                                        <w:div w:id="1730960459">
                                          <w:marLeft w:val="0"/>
                                          <w:marRight w:val="0"/>
                                          <w:marTop w:val="0"/>
                                          <w:marBottom w:val="0"/>
                                          <w:divBdr>
                                            <w:top w:val="none" w:sz="0" w:space="0" w:color="auto"/>
                                            <w:left w:val="none" w:sz="0" w:space="0" w:color="auto"/>
                                            <w:bottom w:val="none" w:sz="0" w:space="0" w:color="auto"/>
                                            <w:right w:val="none" w:sz="0" w:space="0" w:color="auto"/>
                                          </w:divBdr>
                                          <w:divsChild>
                                            <w:div w:id="1986424646">
                                              <w:marLeft w:val="0"/>
                                              <w:marRight w:val="0"/>
                                              <w:marTop w:val="0"/>
                                              <w:marBottom w:val="0"/>
                                              <w:divBdr>
                                                <w:top w:val="none" w:sz="0" w:space="0" w:color="auto"/>
                                                <w:left w:val="none" w:sz="0" w:space="0" w:color="auto"/>
                                                <w:bottom w:val="none" w:sz="0" w:space="0" w:color="auto"/>
                                                <w:right w:val="none" w:sz="0" w:space="0" w:color="auto"/>
                                              </w:divBdr>
                                              <w:divsChild>
                                                <w:div w:id="1171405878">
                                                  <w:marLeft w:val="0"/>
                                                  <w:marRight w:val="0"/>
                                                  <w:marTop w:val="0"/>
                                                  <w:marBottom w:val="0"/>
                                                  <w:divBdr>
                                                    <w:top w:val="none" w:sz="0" w:space="0" w:color="auto"/>
                                                    <w:left w:val="none" w:sz="0" w:space="0" w:color="auto"/>
                                                    <w:bottom w:val="none" w:sz="0" w:space="0" w:color="auto"/>
                                                    <w:right w:val="none" w:sz="0" w:space="0" w:color="auto"/>
                                                  </w:divBdr>
                                                  <w:divsChild>
                                                    <w:div w:id="247739100">
                                                      <w:marLeft w:val="0"/>
                                                      <w:marRight w:val="0"/>
                                                      <w:marTop w:val="0"/>
                                                      <w:marBottom w:val="0"/>
                                                      <w:divBdr>
                                                        <w:top w:val="none" w:sz="0" w:space="0" w:color="auto"/>
                                                        <w:left w:val="none" w:sz="0" w:space="0" w:color="auto"/>
                                                        <w:bottom w:val="none" w:sz="0" w:space="0" w:color="auto"/>
                                                        <w:right w:val="none" w:sz="0" w:space="0" w:color="auto"/>
                                                      </w:divBdr>
                                                      <w:divsChild>
                                                        <w:div w:id="467552932">
                                                          <w:marLeft w:val="0"/>
                                                          <w:marRight w:val="0"/>
                                                          <w:marTop w:val="0"/>
                                                          <w:marBottom w:val="0"/>
                                                          <w:divBdr>
                                                            <w:top w:val="none" w:sz="0" w:space="0" w:color="auto"/>
                                                            <w:left w:val="none" w:sz="0" w:space="0" w:color="auto"/>
                                                            <w:bottom w:val="none" w:sz="0" w:space="0" w:color="auto"/>
                                                            <w:right w:val="none" w:sz="0" w:space="0" w:color="auto"/>
                                                          </w:divBdr>
                                                          <w:divsChild>
                                                            <w:div w:id="1096365531">
                                                              <w:marLeft w:val="0"/>
                                                              <w:marRight w:val="0"/>
                                                              <w:marTop w:val="0"/>
                                                              <w:marBottom w:val="0"/>
                                                              <w:divBdr>
                                                                <w:top w:val="none" w:sz="0" w:space="0" w:color="auto"/>
                                                                <w:left w:val="none" w:sz="0" w:space="0" w:color="auto"/>
                                                                <w:bottom w:val="none" w:sz="0" w:space="0" w:color="auto"/>
                                                                <w:right w:val="none" w:sz="0" w:space="0" w:color="auto"/>
                                                              </w:divBdr>
                                                              <w:divsChild>
                                                                <w:div w:id="582298992">
                                                                  <w:marLeft w:val="0"/>
                                                                  <w:marRight w:val="0"/>
                                                                  <w:marTop w:val="0"/>
                                                                  <w:marBottom w:val="0"/>
                                                                  <w:divBdr>
                                                                    <w:top w:val="none" w:sz="0" w:space="0" w:color="auto"/>
                                                                    <w:left w:val="none" w:sz="0" w:space="0" w:color="auto"/>
                                                                    <w:bottom w:val="none" w:sz="0" w:space="0" w:color="auto"/>
                                                                    <w:right w:val="none" w:sz="0" w:space="0" w:color="auto"/>
                                                                  </w:divBdr>
                                                                  <w:divsChild>
                                                                    <w:div w:id="740716339">
                                                                      <w:marLeft w:val="0"/>
                                                                      <w:marRight w:val="0"/>
                                                                      <w:marTop w:val="0"/>
                                                                      <w:marBottom w:val="0"/>
                                                                      <w:divBdr>
                                                                        <w:top w:val="none" w:sz="0" w:space="0" w:color="auto"/>
                                                                        <w:left w:val="none" w:sz="0" w:space="0" w:color="auto"/>
                                                                        <w:bottom w:val="none" w:sz="0" w:space="0" w:color="auto"/>
                                                                        <w:right w:val="none" w:sz="0" w:space="0" w:color="auto"/>
                                                                      </w:divBdr>
                                                                      <w:divsChild>
                                                                        <w:div w:id="1795558382">
                                                                          <w:marLeft w:val="0"/>
                                                                          <w:marRight w:val="0"/>
                                                                          <w:marTop w:val="0"/>
                                                                          <w:marBottom w:val="0"/>
                                                                          <w:divBdr>
                                                                            <w:top w:val="none" w:sz="0" w:space="0" w:color="auto"/>
                                                                            <w:left w:val="none" w:sz="0" w:space="0" w:color="auto"/>
                                                                            <w:bottom w:val="none" w:sz="0" w:space="0" w:color="auto"/>
                                                                            <w:right w:val="none" w:sz="0" w:space="0" w:color="auto"/>
                                                                          </w:divBdr>
                                                                          <w:divsChild>
                                                                            <w:div w:id="517037692">
                                                                              <w:marLeft w:val="0"/>
                                                                              <w:marRight w:val="0"/>
                                                                              <w:marTop w:val="0"/>
                                                                              <w:marBottom w:val="0"/>
                                                                              <w:divBdr>
                                                                                <w:top w:val="none" w:sz="0" w:space="0" w:color="auto"/>
                                                                                <w:left w:val="none" w:sz="0" w:space="0" w:color="auto"/>
                                                                                <w:bottom w:val="none" w:sz="0" w:space="0" w:color="auto"/>
                                                                                <w:right w:val="none" w:sz="0" w:space="0" w:color="auto"/>
                                                                              </w:divBdr>
                                                                              <w:divsChild>
                                                                                <w:div w:id="843521397">
                                                                                  <w:marLeft w:val="0"/>
                                                                                  <w:marRight w:val="0"/>
                                                                                  <w:marTop w:val="0"/>
                                                                                  <w:marBottom w:val="0"/>
                                                                                  <w:divBdr>
                                                                                    <w:top w:val="none" w:sz="0" w:space="0" w:color="auto"/>
                                                                                    <w:left w:val="none" w:sz="0" w:space="0" w:color="auto"/>
                                                                                    <w:bottom w:val="none" w:sz="0" w:space="0" w:color="auto"/>
                                                                                    <w:right w:val="none" w:sz="0" w:space="0" w:color="auto"/>
                                                                                  </w:divBdr>
                                                                                  <w:divsChild>
                                                                                    <w:div w:id="1492410980">
                                                                                      <w:marLeft w:val="0"/>
                                                                                      <w:marRight w:val="0"/>
                                                                                      <w:marTop w:val="0"/>
                                                                                      <w:marBottom w:val="0"/>
                                                                                      <w:divBdr>
                                                                                        <w:top w:val="none" w:sz="0" w:space="0" w:color="auto"/>
                                                                                        <w:left w:val="none" w:sz="0" w:space="0" w:color="auto"/>
                                                                                        <w:bottom w:val="none" w:sz="0" w:space="0" w:color="auto"/>
                                                                                        <w:right w:val="none" w:sz="0" w:space="0" w:color="auto"/>
                                                                                      </w:divBdr>
                                                                                      <w:divsChild>
                                                                                        <w:div w:id="93625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467648">
                                          <w:marLeft w:val="0"/>
                                          <w:marRight w:val="0"/>
                                          <w:marTop w:val="0"/>
                                          <w:marBottom w:val="0"/>
                                          <w:divBdr>
                                            <w:top w:val="none" w:sz="0" w:space="0" w:color="auto"/>
                                            <w:left w:val="none" w:sz="0" w:space="0" w:color="auto"/>
                                            <w:bottom w:val="none" w:sz="0" w:space="0" w:color="auto"/>
                                            <w:right w:val="none" w:sz="0" w:space="0" w:color="auto"/>
                                          </w:divBdr>
                                          <w:divsChild>
                                            <w:div w:id="1619333158">
                                              <w:marLeft w:val="0"/>
                                              <w:marRight w:val="0"/>
                                              <w:marTop w:val="0"/>
                                              <w:marBottom w:val="0"/>
                                              <w:divBdr>
                                                <w:top w:val="none" w:sz="0" w:space="0" w:color="auto"/>
                                                <w:left w:val="none" w:sz="0" w:space="0" w:color="auto"/>
                                                <w:bottom w:val="none" w:sz="0" w:space="0" w:color="auto"/>
                                                <w:right w:val="none" w:sz="0" w:space="0" w:color="auto"/>
                                              </w:divBdr>
                                              <w:divsChild>
                                                <w:div w:id="1999846467">
                                                  <w:marLeft w:val="0"/>
                                                  <w:marRight w:val="0"/>
                                                  <w:marTop w:val="0"/>
                                                  <w:marBottom w:val="0"/>
                                                  <w:divBdr>
                                                    <w:top w:val="none" w:sz="0" w:space="0" w:color="auto"/>
                                                    <w:left w:val="none" w:sz="0" w:space="0" w:color="auto"/>
                                                    <w:bottom w:val="none" w:sz="0" w:space="0" w:color="auto"/>
                                                    <w:right w:val="none" w:sz="0" w:space="0" w:color="auto"/>
                                                  </w:divBdr>
                                                  <w:divsChild>
                                                    <w:div w:id="1600026288">
                                                      <w:marLeft w:val="0"/>
                                                      <w:marRight w:val="0"/>
                                                      <w:marTop w:val="0"/>
                                                      <w:marBottom w:val="0"/>
                                                      <w:divBdr>
                                                        <w:top w:val="none" w:sz="0" w:space="0" w:color="auto"/>
                                                        <w:left w:val="none" w:sz="0" w:space="0" w:color="auto"/>
                                                        <w:bottom w:val="none" w:sz="0" w:space="0" w:color="auto"/>
                                                        <w:right w:val="none" w:sz="0" w:space="0" w:color="auto"/>
                                                      </w:divBdr>
                                                      <w:divsChild>
                                                        <w:div w:id="1527524511">
                                                          <w:marLeft w:val="0"/>
                                                          <w:marRight w:val="0"/>
                                                          <w:marTop w:val="0"/>
                                                          <w:marBottom w:val="0"/>
                                                          <w:divBdr>
                                                            <w:top w:val="none" w:sz="0" w:space="0" w:color="auto"/>
                                                            <w:left w:val="none" w:sz="0" w:space="0" w:color="auto"/>
                                                            <w:bottom w:val="none" w:sz="0" w:space="0" w:color="auto"/>
                                                            <w:right w:val="none" w:sz="0" w:space="0" w:color="auto"/>
                                                          </w:divBdr>
                                                          <w:divsChild>
                                                            <w:div w:id="35391484">
                                                              <w:marLeft w:val="0"/>
                                                              <w:marRight w:val="0"/>
                                                              <w:marTop w:val="0"/>
                                                              <w:marBottom w:val="0"/>
                                                              <w:divBdr>
                                                                <w:top w:val="none" w:sz="0" w:space="0" w:color="auto"/>
                                                                <w:left w:val="none" w:sz="0" w:space="0" w:color="auto"/>
                                                                <w:bottom w:val="none" w:sz="0" w:space="0" w:color="auto"/>
                                                                <w:right w:val="none" w:sz="0" w:space="0" w:color="auto"/>
                                                              </w:divBdr>
                                                              <w:divsChild>
                                                                <w:div w:id="70583016">
                                                                  <w:marLeft w:val="0"/>
                                                                  <w:marRight w:val="0"/>
                                                                  <w:marTop w:val="0"/>
                                                                  <w:marBottom w:val="0"/>
                                                                  <w:divBdr>
                                                                    <w:top w:val="none" w:sz="0" w:space="0" w:color="auto"/>
                                                                    <w:left w:val="none" w:sz="0" w:space="0" w:color="auto"/>
                                                                    <w:bottom w:val="none" w:sz="0" w:space="0" w:color="auto"/>
                                                                    <w:right w:val="none" w:sz="0" w:space="0" w:color="auto"/>
                                                                  </w:divBdr>
                                                                  <w:divsChild>
                                                                    <w:div w:id="774057914">
                                                                      <w:marLeft w:val="0"/>
                                                                      <w:marRight w:val="0"/>
                                                                      <w:marTop w:val="0"/>
                                                                      <w:marBottom w:val="0"/>
                                                                      <w:divBdr>
                                                                        <w:top w:val="none" w:sz="0" w:space="0" w:color="auto"/>
                                                                        <w:left w:val="none" w:sz="0" w:space="0" w:color="auto"/>
                                                                        <w:bottom w:val="none" w:sz="0" w:space="0" w:color="auto"/>
                                                                        <w:right w:val="none" w:sz="0" w:space="0" w:color="auto"/>
                                                                      </w:divBdr>
                                                                      <w:divsChild>
                                                                        <w:div w:id="1878353655">
                                                                          <w:marLeft w:val="0"/>
                                                                          <w:marRight w:val="0"/>
                                                                          <w:marTop w:val="0"/>
                                                                          <w:marBottom w:val="0"/>
                                                                          <w:divBdr>
                                                                            <w:top w:val="none" w:sz="0" w:space="0" w:color="auto"/>
                                                                            <w:left w:val="none" w:sz="0" w:space="0" w:color="auto"/>
                                                                            <w:bottom w:val="none" w:sz="0" w:space="0" w:color="auto"/>
                                                                            <w:right w:val="none" w:sz="0" w:space="0" w:color="auto"/>
                                                                          </w:divBdr>
                                                                          <w:divsChild>
                                                                            <w:div w:id="1337032442">
                                                                              <w:marLeft w:val="0"/>
                                                                              <w:marRight w:val="0"/>
                                                                              <w:marTop w:val="0"/>
                                                                              <w:marBottom w:val="0"/>
                                                                              <w:divBdr>
                                                                                <w:top w:val="none" w:sz="0" w:space="0" w:color="auto"/>
                                                                                <w:left w:val="none" w:sz="0" w:space="0" w:color="auto"/>
                                                                                <w:bottom w:val="none" w:sz="0" w:space="0" w:color="auto"/>
                                                                                <w:right w:val="none" w:sz="0" w:space="0" w:color="auto"/>
                                                                              </w:divBdr>
                                                                              <w:divsChild>
                                                                                <w:div w:id="1868133256">
                                                                                  <w:marLeft w:val="0"/>
                                                                                  <w:marRight w:val="0"/>
                                                                                  <w:marTop w:val="0"/>
                                                                                  <w:marBottom w:val="0"/>
                                                                                  <w:divBdr>
                                                                                    <w:top w:val="none" w:sz="0" w:space="0" w:color="auto"/>
                                                                                    <w:left w:val="none" w:sz="0" w:space="0" w:color="auto"/>
                                                                                    <w:bottom w:val="none" w:sz="0" w:space="0" w:color="auto"/>
                                                                                    <w:right w:val="none" w:sz="0" w:space="0" w:color="auto"/>
                                                                                  </w:divBdr>
                                                                                  <w:divsChild>
                                                                                    <w:div w:id="327099170">
                                                                                      <w:marLeft w:val="0"/>
                                                                                      <w:marRight w:val="0"/>
                                                                                      <w:marTop w:val="0"/>
                                                                                      <w:marBottom w:val="0"/>
                                                                                      <w:divBdr>
                                                                                        <w:top w:val="none" w:sz="0" w:space="0" w:color="auto"/>
                                                                                        <w:left w:val="none" w:sz="0" w:space="0" w:color="auto"/>
                                                                                        <w:bottom w:val="none" w:sz="0" w:space="0" w:color="auto"/>
                                                                                        <w:right w:val="none" w:sz="0" w:space="0" w:color="auto"/>
                                                                                      </w:divBdr>
                                                                                      <w:divsChild>
                                                                                        <w:div w:id="152220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3093</Words>
  <Characters>17635</Characters>
  <Application>Microsoft Office Word</Application>
  <DocSecurity>0</DocSecurity>
  <Lines>146</Lines>
  <Paragraphs>41</Paragraphs>
  <ScaleCrop>false</ScaleCrop>
  <Company/>
  <LinksUpToDate>false</LinksUpToDate>
  <CharactersWithSpaces>20687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Shirsh Sawarna</dc:creator>
  <cp:keywords/>
  <dc:description/>
  <cp:lastModifiedBy>Shirsh Sawarna</cp:lastModifiedBy>
  <cp:revision>1</cp:revision>
  <dcterms:created xsi:type="dcterms:W3CDTF">2026-06-30T06:06:00Z</dcterms:created>
  <dcterms:modified xsi:type="dcterms:W3CDTF">2026-06-30T06:06:00Z</dcterms:modified>
</cp:coreProperties>
</file>