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1A25" w:rsidRPr="00911A25" w:rsidRDefault="00911A25" w:rsidP="00911A2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11A25">
        <w:rPr>
          <w:rFonts w:ascii="Times New Roman" w:eastAsia="Times New Roman" w:hAnsi="Times New Roman" w:cs="Times New Roman"/>
          <w:b/>
          <w:bCs/>
          <w:kern w:val="36"/>
          <w:sz w:val="48"/>
          <w:szCs w:val="48"/>
          <w14:ligatures w14:val="none"/>
        </w:rPr>
        <w:t>Sun Pharma: Nidlegy refiling brings the asset back into the European approval pathway</w:t>
      </w:r>
    </w:p>
    <w:p w:rsidR="00911A25" w:rsidRPr="00911A25" w:rsidRDefault="00911A25" w:rsidP="00911A25">
      <w:pPr>
        <w:spacing w:before="100" w:beforeAutospacing="1" w:after="100" w:afterAutospacing="1"/>
        <w:rPr>
          <w:rFonts w:ascii="Times New Roman" w:eastAsia="Times New Roman" w:hAnsi="Times New Roman" w:cs="Times New Roman"/>
          <w:kern w:val="0"/>
          <w14:ligatures w14:val="none"/>
        </w:rPr>
      </w:pPr>
      <w:r w:rsidRPr="00911A25">
        <w:rPr>
          <w:rFonts w:ascii="Times New Roman" w:eastAsia="Times New Roman" w:hAnsi="Times New Roman" w:cs="Times New Roman"/>
          <w:b/>
          <w:bCs/>
          <w:kern w:val="0"/>
          <w14:ligatures w14:val="none"/>
        </w:rPr>
        <w:t>Nidlegy has returned to the European regulatory process with a stronger submission, although the main clinical questions have not fully gone away.</w:t>
      </w:r>
      <w:r w:rsidRPr="00911A25">
        <w:rPr>
          <w:rFonts w:ascii="Times New Roman" w:eastAsia="Times New Roman" w:hAnsi="Times New Roman" w:cs="Times New Roman"/>
          <w:kern w:val="0"/>
          <w14:ligatures w14:val="none"/>
        </w:rPr>
        <w:t xml:space="preserve"> Nidlegy is Philogen’s locally injected immunotherapy for patients with locally advanced, fully resectable melanoma. It combines two tumour-targeted agents, L19IL2 and L19TNF, and is injected directly into accessible melanoma lesions once a week for four weeks before surgery. Sun Pharma acquired exclusive commercialization rights for Europe, Australia and New Zealand in 2023, while Philogen remains responsible for clinical development, regulatory filings and manufacturing. The original application was supported by the 256-patient Phase III PIVOTAL study, where Nidlegy reduced the risk of recurrence or death by about 41% versus surgery alone. Philogen withdrew the application in June 2025 because it could not answer EMA’s questions within the available review timeline. The regulator had raised concerns on both manufacturing and clinical evidence. On manufacturing, EMA questioned process validation, comparability after the production-site transfer and the methods used to confirm product identity, potency and purity. On efficacy, EMA questioned whether the reported recurrence-free survival benefit was fully reliable because surgery happened later in the Nidlegy arm, some patients who did not reach surgery were censored, the primary endpoint was changed during the study and surgery alone had become a less relevant comparator as checkpoint inhibitors moved into the perioperative setting. The new filing includes 33 months of follow-up, additional event-free survival analyses, a broader CMC package and supporting data from other melanoma and skin-cancer studies. We believe the manufacturing package should be meaningfully stronger this time. The remaining uncertainty is whether the original Phase III study can support a sufficiently robust estimate of clinical benefit for approval.</w:t>
      </w:r>
    </w:p>
    <w:p w:rsidR="00911A25" w:rsidRPr="00911A25" w:rsidRDefault="00911A25" w:rsidP="00911A25">
      <w:pPr>
        <w:spacing w:before="100" w:beforeAutospacing="1" w:after="100" w:afterAutospacing="1"/>
        <w:rPr>
          <w:rFonts w:ascii="Times New Roman" w:eastAsia="Times New Roman" w:hAnsi="Times New Roman" w:cs="Times New Roman"/>
          <w:kern w:val="0"/>
          <w14:ligatures w14:val="none"/>
        </w:rPr>
      </w:pPr>
      <w:r w:rsidRPr="00911A25">
        <w:rPr>
          <w:rFonts w:ascii="Times New Roman" w:eastAsia="Times New Roman" w:hAnsi="Times New Roman" w:cs="Times New Roman"/>
          <w:b/>
          <w:bCs/>
          <w:kern w:val="0"/>
          <w14:ligatures w14:val="none"/>
        </w:rPr>
        <w:t>The 27 July refiling is therefore a positive development for Sun Pharma, with FY28 likely to become the key regulatory catalyst period.</w:t>
      </w:r>
      <w:r w:rsidRPr="00911A25">
        <w:rPr>
          <w:rFonts w:ascii="Times New Roman" w:eastAsia="Times New Roman" w:hAnsi="Times New Roman" w:cs="Times New Roman"/>
          <w:kern w:val="0"/>
          <w14:ligatures w14:val="none"/>
        </w:rPr>
        <w:t xml:space="preserve"> We expect EMA validation in the near term, followed by the Day 120 questions in early CY27 and a possible CHMP opinion between late CY27 and H1CY28. A positive CHMP recommendation would be the most important stock catalyst because it would sharply increase the probability of formal European approval and allow investors to assign value to an asset that is currently largely absent from consensus forecasts. The earliest credible approval window is around mid-CY28, with launch possible during FY29 and meaningful revenue more likely from FY30 after country-level pricing and reimbursement. The direct earnings impact should remain modest initially because the first melanoma indication is narrow and Sun shares the economics with Philogen. The strategic value is more meaningful. Nidlegy would strengthen Sun’s emerging onco-dermatology franchise alongside Odomzo and UNLOXCYT and could benefit from a larger European commercial platform, including the proposed Organon infrastructure. It also adds another growth option within Sun’s roughly $1.2 billion innovative medicines business. Commercially, Nidlegy is best suited to patients with injectable disease who cannot tolerate, or prefer to avoid, systemic checkpoint therapy. Its four-week treatment course and lower systemic immune toxicity are clear advantages. At the same time, checkpoint inhibitors have stronger efficacy evidence and will remain the preferred treatment for most eligible patients. EMA validation should provide a small positive read-</w:t>
      </w:r>
      <w:r w:rsidRPr="00911A25">
        <w:rPr>
          <w:rFonts w:ascii="Times New Roman" w:eastAsia="Times New Roman" w:hAnsi="Times New Roman" w:cs="Times New Roman"/>
          <w:kern w:val="0"/>
          <w14:ligatures w14:val="none"/>
        </w:rPr>
        <w:lastRenderedPageBreak/>
        <w:t>through, constructive regulatory feedback would gradually de-risk the asset, and a positive CHMP opinion would be the main valuation event.</w:t>
      </w:r>
    </w:p>
    <w:p w:rsidR="00712B9C" w:rsidRPr="00712B9C" w:rsidRDefault="00712B9C" w:rsidP="00712B9C">
      <w:pPr>
        <w:spacing w:before="100" w:beforeAutospacing="1" w:after="100" w:afterAutospacing="1"/>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817"/>
        <w:gridCol w:w="1709"/>
        <w:gridCol w:w="1809"/>
        <w:gridCol w:w="2196"/>
      </w:tblGrid>
      <w:tr w:rsidR="00712B9C" w:rsidRPr="00712B9C" w:rsidTr="00712B9C">
        <w:trPr>
          <w:tblHeader/>
          <w:tblCellSpacing w:w="15" w:type="dxa"/>
        </w:trPr>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Therapy</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Setting and regimen</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Key efficacy evidence</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Safety and treatment burden</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Nidlegy’s relative positioning</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Nidlegy, Philogen/Sun</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Resectable, locally advanced melanoma with injectable lesions; four weekly intralesional injections followed by surgery</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PIVOTAL RFS HR 0.59 initially and 0.61 with longer follow-up; DMFS HR 0.57; pathological CR approximately 21%; OS HR 0.93</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Grade 3 or higher AEs 31.8%, predominantly local injection-site events; no treatment-related deaths; finite four-week course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Key advantage:</w:t>
            </w:r>
            <w:r w:rsidRPr="00712B9C">
              <w:rPr>
                <w:rFonts w:ascii="Times New Roman" w:eastAsia="Times New Roman" w:hAnsi="Times New Roman" w:cs="Times New Roman"/>
                <w:kern w:val="0"/>
                <w14:ligatures w14:val="none"/>
              </w:rPr>
              <w:t xml:space="preserve"> low systemic immune toxicity, finite treatment and no year-long checkpoint exposure. </w:t>
            </w:r>
            <w:r w:rsidRPr="00712B9C">
              <w:rPr>
                <w:rFonts w:ascii="Times New Roman" w:eastAsia="Times New Roman" w:hAnsi="Times New Roman" w:cs="Times New Roman"/>
                <w:b/>
                <w:bCs/>
                <w:kern w:val="0"/>
                <w14:ligatures w14:val="none"/>
              </w:rPr>
              <w:t>Best-fit niche:</w:t>
            </w:r>
            <w:r w:rsidRPr="00712B9C">
              <w:rPr>
                <w:rFonts w:ascii="Times New Roman" w:eastAsia="Times New Roman" w:hAnsi="Times New Roman" w:cs="Times New Roman"/>
                <w:kern w:val="0"/>
                <w14:ligatures w14:val="none"/>
              </w:rPr>
              <w:t xml:space="preserve"> checkpoint-ineligible or checkpoint-averse patients. </w:t>
            </w:r>
            <w:r w:rsidRPr="00712B9C">
              <w:rPr>
                <w:rFonts w:ascii="Times New Roman" w:eastAsia="Times New Roman" w:hAnsi="Times New Roman" w:cs="Times New Roman"/>
                <w:b/>
                <w:bCs/>
                <w:kern w:val="0"/>
                <w14:ligatures w14:val="none"/>
              </w:rPr>
              <w:t>Constraint:</w:t>
            </w:r>
            <w:r w:rsidRPr="00712B9C">
              <w:rPr>
                <w:rFonts w:ascii="Times New Roman" w:eastAsia="Times New Roman" w:hAnsi="Times New Roman" w:cs="Times New Roman"/>
                <w:kern w:val="0"/>
                <w14:ligatures w14:val="none"/>
              </w:rPr>
              <w:t xml:space="preserve"> no demonstrated OS benefit, accessible lesions required and pivotal-trial methodology remains contested</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Nivolumab plus ipilimumab, NADINA</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Resectable macroscopic stage III melanoma; two neoadjuvant cycles followed by surgery and response-driven adjuvant treatment</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EFS HR 0.32; 12-month EFS approximately 84% versus 57%; major pathological response approximately 59%</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Grade 3 or 4 treatment-related AEs approximately 30%; meaningful systemic immune-related toxicity</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Strongest competing efficacy package. Nidlegy offers lower systemic toxicity and simpler monitoring, although its tumour-response depth and EFS evidence are materially weaker</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Pembrolizumab, SWOG S1801</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Resectable stage IIIB-IV melanoma; neoadjuvant pembrolizumab followed by surgery and adjuvant pembrolizumab</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Two-year EFS 72% versus 49% with adjuvant-only treatment; pathological CR approximately 21%</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Lower severe toxicity than dual checkpoint therapy, although treatment continues for approximately one year and requires repeated IV administration</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Nidlegy matches the reported pathological CR rate and offers a much shorter course. Pembrolizumab has the stronger systemic rationale, cleaner endpoint and established physician familiarity</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lastRenderedPageBreak/>
              <w:t>Adjuvant nivolumab or pembrolizumab</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Completely resected stage III-IV melanoma; systemic anti-PD-1 treatment for up to one year</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Mature recurrence-free survival benefit and long-term follow-up; approved and embedded in clinical practice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Repeated IV dosing and risk of persistent immune-related adverse events</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Nidlegy could reduce systemic exposure and treatment duration for selected patients. Established reimbursement, mature outcomes and broad eligibility favour anti-PD-1 therapy in the mainstream population</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Dabrafenib plus trametinib</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Adjuvant treatment for resected BRAF V600-mutated stage III melanoma; oral therapy for one year</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Five-year RFS approximately 52% versus 36%; HR approximately 0.51</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Oral administration; pyrexia and treatment interruptions are common; restricted to BRAF V600-mutated disease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Nidlegy is mutation-agnostic and uses a four-week course. Dabrafenib plus trametinib remains easier to administer and has mature efficacy evidence in its biomarker-defined population</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T-VEC</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Intralesional treatment for unresectable stage IIIB-IVM1a melanoma</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Durable response rate approximately 19% versus 1% with GM-CSF in OPTiM; established activity in injectable disease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Primarily local and flu-like toxicity; repeated intralesional administration</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Closest commercial analogue. Nidlegy has randomized neoadjuvant data and a finite four-dose regimen. T-VEC has regulatory precedent, established use and a more mature evidence package</w:t>
            </w:r>
          </w:p>
        </w:tc>
      </w:tr>
    </w:tbl>
    <w:p w:rsidR="00712B9C" w:rsidRDefault="00712B9C" w:rsidP="00712B9C">
      <w:pPr>
        <w:spacing w:before="100" w:beforeAutospacing="1" w:after="100" w:afterAutospacing="1"/>
        <w:rPr>
          <w:rFonts w:ascii="Times New Roman" w:eastAsia="Times New Roman" w:hAnsi="Times New Roman" w:cs="Times New Roman"/>
          <w:kern w:val="0"/>
          <w14:ligatures w14:val="none"/>
        </w:rPr>
      </w:pPr>
      <w:r w:rsidRPr="00712B9C">
        <w:rPr>
          <w:rFonts w:ascii="Times New Roman" w:eastAsia="Times New Roman" w:hAnsi="Times New Roman" w:cs="Times New Roman"/>
          <w:i/>
          <w:iCs/>
          <w:kern w:val="0"/>
          <w14:ligatures w14:val="none"/>
        </w:rPr>
        <w:t>Source: Sun Pharma and Philogen disclosures, EMA assessment and published PIVOTAL, NADINA, SWOG S1801 and OPTiM studies. Cross-trial comparisons are indicative because populations, endpoints, treatment settings and follow-up differ.</w:t>
      </w:r>
      <w:r w:rsidRPr="00712B9C">
        <w:rPr>
          <w:rFonts w:ascii="Times New Roman" w:eastAsia="Times New Roman" w:hAnsi="Times New Roman" w:cs="Times New Roman"/>
          <w:kern w:val="0"/>
          <w14:ligatures w14:val="none"/>
        </w:rPr>
        <w:t xml:space="preserve"> </w:t>
      </w:r>
    </w:p>
    <w:p w:rsidR="000735FD" w:rsidRDefault="000735FD" w:rsidP="00712B9C">
      <w:pPr>
        <w:spacing w:before="100" w:beforeAutospacing="1" w:after="100" w:afterAutospacing="1"/>
        <w:rPr>
          <w:rFonts w:ascii="Times New Roman" w:eastAsia="Times New Roman" w:hAnsi="Times New Roman" w:cs="Times New Roman"/>
          <w:kern w:val="0"/>
          <w14:ligatures w14:val="none"/>
        </w:rPr>
      </w:pPr>
    </w:p>
    <w:p w:rsidR="000735FD" w:rsidRDefault="000735FD" w:rsidP="00712B9C">
      <w:pPr>
        <w:spacing w:before="100" w:beforeAutospacing="1" w:after="100" w:afterAutospacing="1"/>
        <w:rPr>
          <w:rFonts w:ascii="Times New Roman" w:eastAsia="Times New Roman" w:hAnsi="Times New Roman" w:cs="Times New Roman"/>
          <w:kern w:val="0"/>
          <w14:ligatures w14:val="none"/>
        </w:rPr>
      </w:pPr>
    </w:p>
    <w:p w:rsidR="000735FD" w:rsidRPr="000735FD" w:rsidRDefault="000735FD" w:rsidP="000735FD">
      <w:pPr>
        <w:spacing w:before="100" w:beforeAutospacing="1" w:after="100" w:afterAutospacing="1"/>
        <w:rPr>
          <w:rFonts w:ascii="Times New Roman" w:eastAsia="Times New Roman" w:hAnsi="Times New Roman" w:cs="Times New Roman"/>
          <w:kern w:val="0"/>
          <w14:ligatures w14:val="none"/>
        </w:rPr>
      </w:pPr>
      <w:r w:rsidRPr="000735FD">
        <w:rPr>
          <w:rFonts w:ascii="Times New Roman" w:eastAsia="Times New Roman" w:hAnsi="Times New Roman" w:cs="Times New Roman"/>
          <w:b/>
          <w:bCs/>
          <w:kern w:val="0"/>
          <w14:ligatures w14:val="none"/>
        </w:rPr>
        <w:lastRenderedPageBreak/>
        <w:t>Nidlegy’s EMA refiling is a clear positive for Sun Pharma, as it revives a differentiated oncology asset that carries little value in current expectations.</w:t>
      </w:r>
      <w:r w:rsidRPr="000735FD">
        <w:rPr>
          <w:rFonts w:ascii="Times New Roman" w:eastAsia="Times New Roman" w:hAnsi="Times New Roman" w:cs="Times New Roman"/>
          <w:kern w:val="0"/>
          <w14:ligatures w14:val="none"/>
        </w:rPr>
        <w:t xml:space="preserve"> The updated submission appears better positioned to address the manufacturing and clinical questions that led to the earlier withdrawal, creating a credible pathway back to approval. Near-term earnings impact remains limited, with approval unlikely before FY28 and meaningful revenue more likely from FY30, but the strategic relevance is stronger. Nidlegy expands Sun’s onco-dermatology platform, adds another growth lever within its innovative medicines franchise and should benefit from a broader European commercial infrastructure. EMA validation would confirm that the review is formally back on track, while constructive regulatory feedback through CY27 could progressively de-risk the asset. A favourable CHMP opinion would be the key stock catalyst, as it would materially improve approval visibility and allow investors to begin assigning meaningful commercial value to Nidlegy.</w:t>
      </w:r>
    </w:p>
    <w:p w:rsidR="000735FD" w:rsidRPr="00712B9C" w:rsidRDefault="000735FD" w:rsidP="00712B9C">
      <w:pPr>
        <w:spacing w:before="100" w:beforeAutospacing="1" w:after="100" w:afterAutospacing="1"/>
        <w:rPr>
          <w:rFonts w:ascii="Times New Roman" w:eastAsia="Times New Roman" w:hAnsi="Times New Roman" w:cs="Times New Roman"/>
          <w:kern w:val="0"/>
          <w14:ligatures w14:val="none"/>
        </w:rPr>
      </w:pP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B9C"/>
    <w:rsid w:val="000735FD"/>
    <w:rsid w:val="00712B9C"/>
    <w:rsid w:val="007B788F"/>
    <w:rsid w:val="00911A25"/>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63E931"/>
  <w15:chartTrackingRefBased/>
  <w15:docId w15:val="{113071ED-B175-754A-A9D4-D4C426B7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2B9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B9C"/>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712B9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2B9C"/>
    <w:rPr>
      <w:b/>
      <w:bCs/>
    </w:rPr>
  </w:style>
  <w:style w:type="character" w:styleId="Emphasis">
    <w:name w:val="Emphasis"/>
    <w:basedOn w:val="DefaultParagraphFont"/>
    <w:uiPriority w:val="20"/>
    <w:qFormat/>
    <w:rsid w:val="00712B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929959">
      <w:bodyDiv w:val="1"/>
      <w:marLeft w:val="0"/>
      <w:marRight w:val="0"/>
      <w:marTop w:val="0"/>
      <w:marBottom w:val="0"/>
      <w:divBdr>
        <w:top w:val="none" w:sz="0" w:space="0" w:color="auto"/>
        <w:left w:val="none" w:sz="0" w:space="0" w:color="auto"/>
        <w:bottom w:val="none" w:sz="0" w:space="0" w:color="auto"/>
        <w:right w:val="none" w:sz="0" w:space="0" w:color="auto"/>
      </w:divBdr>
      <w:divsChild>
        <w:div w:id="1248613076">
          <w:marLeft w:val="0"/>
          <w:marRight w:val="0"/>
          <w:marTop w:val="0"/>
          <w:marBottom w:val="0"/>
          <w:divBdr>
            <w:top w:val="none" w:sz="0" w:space="0" w:color="auto"/>
            <w:left w:val="none" w:sz="0" w:space="0" w:color="auto"/>
            <w:bottom w:val="none" w:sz="0" w:space="0" w:color="auto"/>
            <w:right w:val="none" w:sz="0" w:space="0" w:color="auto"/>
          </w:divBdr>
          <w:divsChild>
            <w:div w:id="10059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37791">
      <w:bodyDiv w:val="1"/>
      <w:marLeft w:val="0"/>
      <w:marRight w:val="0"/>
      <w:marTop w:val="0"/>
      <w:marBottom w:val="0"/>
      <w:divBdr>
        <w:top w:val="none" w:sz="0" w:space="0" w:color="auto"/>
        <w:left w:val="none" w:sz="0" w:space="0" w:color="auto"/>
        <w:bottom w:val="none" w:sz="0" w:space="0" w:color="auto"/>
        <w:right w:val="none" w:sz="0" w:space="0" w:color="auto"/>
      </w:divBdr>
    </w:div>
    <w:div w:id="1495412229">
      <w:bodyDiv w:val="1"/>
      <w:marLeft w:val="0"/>
      <w:marRight w:val="0"/>
      <w:marTop w:val="0"/>
      <w:marBottom w:val="0"/>
      <w:divBdr>
        <w:top w:val="none" w:sz="0" w:space="0" w:color="auto"/>
        <w:left w:val="none" w:sz="0" w:space="0" w:color="auto"/>
        <w:bottom w:val="none" w:sz="0" w:space="0" w:color="auto"/>
        <w:right w:val="none" w:sz="0" w:space="0" w:color="auto"/>
      </w:divBdr>
      <w:divsChild>
        <w:div w:id="2124378856">
          <w:marLeft w:val="0"/>
          <w:marRight w:val="0"/>
          <w:marTop w:val="0"/>
          <w:marBottom w:val="0"/>
          <w:divBdr>
            <w:top w:val="none" w:sz="0" w:space="0" w:color="auto"/>
            <w:left w:val="none" w:sz="0" w:space="0" w:color="auto"/>
            <w:bottom w:val="none" w:sz="0" w:space="0" w:color="auto"/>
            <w:right w:val="none" w:sz="0" w:space="0" w:color="auto"/>
          </w:divBdr>
          <w:divsChild>
            <w:div w:id="717360175">
              <w:marLeft w:val="0"/>
              <w:marRight w:val="0"/>
              <w:marTop w:val="0"/>
              <w:marBottom w:val="0"/>
              <w:divBdr>
                <w:top w:val="none" w:sz="0" w:space="0" w:color="auto"/>
                <w:left w:val="none" w:sz="0" w:space="0" w:color="auto"/>
                <w:bottom w:val="none" w:sz="0" w:space="0" w:color="auto"/>
                <w:right w:val="none" w:sz="0" w:space="0" w:color="auto"/>
              </w:divBdr>
              <w:divsChild>
                <w:div w:id="1322155351">
                  <w:marLeft w:val="0"/>
                  <w:marRight w:val="0"/>
                  <w:marTop w:val="0"/>
                  <w:marBottom w:val="0"/>
                  <w:divBdr>
                    <w:top w:val="none" w:sz="0" w:space="0" w:color="auto"/>
                    <w:left w:val="none" w:sz="0" w:space="0" w:color="auto"/>
                    <w:bottom w:val="none" w:sz="0" w:space="0" w:color="auto"/>
                    <w:right w:val="none" w:sz="0" w:space="0" w:color="auto"/>
                  </w:divBdr>
                  <w:divsChild>
                    <w:div w:id="2002922998">
                      <w:marLeft w:val="0"/>
                      <w:marRight w:val="0"/>
                      <w:marTop w:val="0"/>
                      <w:marBottom w:val="0"/>
                      <w:divBdr>
                        <w:top w:val="none" w:sz="0" w:space="0" w:color="auto"/>
                        <w:left w:val="none" w:sz="0" w:space="0" w:color="auto"/>
                        <w:bottom w:val="none" w:sz="0" w:space="0" w:color="auto"/>
                        <w:right w:val="none" w:sz="0" w:space="0" w:color="auto"/>
                      </w:divBdr>
                      <w:divsChild>
                        <w:div w:id="227765359">
                          <w:marLeft w:val="0"/>
                          <w:marRight w:val="0"/>
                          <w:marTop w:val="0"/>
                          <w:marBottom w:val="0"/>
                          <w:divBdr>
                            <w:top w:val="none" w:sz="0" w:space="0" w:color="auto"/>
                            <w:left w:val="none" w:sz="0" w:space="0" w:color="auto"/>
                            <w:bottom w:val="none" w:sz="0" w:space="0" w:color="auto"/>
                            <w:right w:val="none" w:sz="0" w:space="0" w:color="auto"/>
                          </w:divBdr>
                          <w:divsChild>
                            <w:div w:id="947278647">
                              <w:marLeft w:val="0"/>
                              <w:marRight w:val="0"/>
                              <w:marTop w:val="0"/>
                              <w:marBottom w:val="0"/>
                              <w:divBdr>
                                <w:top w:val="none" w:sz="0" w:space="0" w:color="auto"/>
                                <w:left w:val="none" w:sz="0" w:space="0" w:color="auto"/>
                                <w:bottom w:val="none" w:sz="0" w:space="0" w:color="auto"/>
                                <w:right w:val="none" w:sz="0" w:space="0" w:color="auto"/>
                              </w:divBdr>
                              <w:divsChild>
                                <w:div w:id="10087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1258</Words>
  <Characters>7177</Characters>
  <Application>Microsoft Office Word</Application>
  <DocSecurity>0</DocSecurity>
  <Lines>59</Lines>
  <Paragraphs>16</Paragraphs>
  <ScaleCrop>false</ScaleCrop>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3</cp:revision>
  <dcterms:created xsi:type="dcterms:W3CDTF">2026-07-29T06:18:00Z</dcterms:created>
  <dcterms:modified xsi:type="dcterms:W3CDTF">2026-07-29T06:25:00Z</dcterms:modified>
</cp:coreProperties>
</file>