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3EC6" w:rsidRDefault="00000000">
      <w:pPr>
        <w:pStyle w:val="FirstParagraph"/>
      </w:pPr>
      <w:r>
        <w:rPr>
          <w:b/>
          <w:bCs/>
        </w:rPr>
        <w:t>Highlights</w:t>
      </w:r>
    </w:p>
    <w:p w:rsidR="00F83EC6" w:rsidRDefault="00000000">
      <w:pPr>
        <w:pStyle w:val="BodyText"/>
      </w:pPr>
      <w:r>
        <w:t>Aurobindo Pharma USA has received FTC approval to proceed with its US$250mn acquisition of Lannett Company LLC, removing the key closing overhang for the transaction announced in July 2025. The deal is structured as a 100% acquisition on a cash-free, debt-free basis, including normalized working capital, with closing expected before the end of June 2026. The FTC remedy is narrow: Aurobindo is required to divest four overlapping generic products to Quagen Pharmaceuticals. We do not see these divestitures as impairing the strategic core of the transaction, which remains ADHD, non-opioid controlled substances, US manufacturing, CDMO, generic liquids and complex-generic optionality.</w:t>
      </w:r>
    </w:p>
    <w:p w:rsidR="00F83EC6" w:rsidRDefault="00000000">
      <w:pPr>
        <w:pStyle w:val="BodyText"/>
      </w:pPr>
      <w:r>
        <w:t>Strategically, Lannett gives Aurobindo access to a US controlled-substance platform that it did not previously own at scale. Lannett generated US$306mn of TTM 2025 sales and brings a Seymour, Indiana manufacturing site with approximately 4bn annual dose capacity. The acquisition price implies 0.82x latest disclosed sales, which we view as a reasonable entry multiple for a US-based generic platform with ADHD exposure, DEA-linked operating capabilities and underutilized manufacturing capacity. Our transaction framework implies approximately ₹40/share value accretion for Aurobindo, but we believe this is largely reflected in the stock. Near term, the acquisition is revenue accretive but margin dilutive: we estimate pro forma US EBITDA margin declines from approximately 23% to 21%. The strategic offset is that Lannett adds local US manufacturing and controlled-substance operating discipline, which could modestly reduce Aurobindo’s execution and inspection-risk profile over time.</w:t>
      </w:r>
    </w:p>
    <w:p w:rsidR="00F83EC6" w:rsidRDefault="00000000">
      <w:pPr>
        <w:pStyle w:val="BodyText"/>
      </w:pPr>
      <w:r>
        <w:t>Advair is the main product-level upside option outside ADHD. Lannett has an exclusive US distribution agreement with Respirent for generic Advair Diskus, a fluticasone propionate and salmeterol dry powder inhaler used in asthma and COPD. This is a high-barrier respiratory generic, where drug-device equivalence, dose delivery, inhalation performance and regulatory confidence matter more than molecule sameness alone. We see Advair as a useful near-term revenue and EBITDA support factor for Lannett, but not a standalone rerating catalyst for Aurobindo. Lannett’s economics are shared with Respirent, and generic Advair already has established competition. The deal is positive, but the next leg of upside now depends on integration, synergy capture, ADHD execution, Advair economics and cleaner FDA outcomes.</w:t>
      </w:r>
    </w:p>
    <w:p w:rsidR="00202A57" w:rsidRDefault="00202A57">
      <w:pPr>
        <w:pStyle w:val="BodyText"/>
      </w:pPr>
    </w:p>
    <w:p w:rsidR="00202A57" w:rsidRDefault="00202A57">
      <w:pPr>
        <w:pStyle w:val="BodyText"/>
      </w:pPr>
    </w:p>
    <w:p w:rsidR="00202A57" w:rsidRDefault="00202A57">
      <w:pPr>
        <w:pStyle w:val="BodyText"/>
      </w:pPr>
    </w:p>
    <w:p w:rsidR="00202A57" w:rsidRDefault="00202A57" w:rsidP="00202A57">
      <w:pPr>
        <w:pStyle w:val="NormalWeb"/>
      </w:pPr>
      <w:r>
        <w:t xml:space="preserve">Use </w:t>
      </w:r>
      <w:r>
        <w:rPr>
          <w:rStyle w:val="Strong"/>
        </w:rPr>
        <w:t>Lannett</w:t>
      </w:r>
      <w:r>
        <w:t xml:space="preserve"> and </w:t>
      </w:r>
      <w:r>
        <w:rPr>
          <w:rStyle w:val="Strong"/>
        </w:rPr>
        <w:t>Advair</w:t>
      </w:r>
      <w:r>
        <w:t xml:space="preserve"> everywhere. “Lanet” and “Adware” will look unpolished in a published note.</w:t>
      </w:r>
    </w:p>
    <w:p w:rsidR="00202A57" w:rsidRDefault="00202A57" w:rsidP="00202A57">
      <w:pPr>
        <w:pStyle w:val="Heading2"/>
      </w:pPr>
      <w:r>
        <w:lastRenderedPageBreak/>
        <w:t>Better Bernstein-style subheadings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7"/>
        <w:gridCol w:w="5853"/>
      </w:tblGrid>
      <w:tr w:rsidR="00202A57" w:rsidTr="00202A57">
        <w:trPr>
          <w:tblHeader/>
          <w:tblCellSpacing w:w="15" w:type="dxa"/>
        </w:trPr>
        <w:tc>
          <w:tcPr>
            <w:tcW w:w="0" w:type="auto"/>
            <w:vAlign w:val="center"/>
            <w:hideMark/>
          </w:tcPr>
          <w:p w:rsidR="00202A57" w:rsidRDefault="00202A57">
            <w:pPr>
              <w:jc w:val="center"/>
              <w:rPr>
                <w:b/>
                <w:bCs/>
              </w:rPr>
            </w:pPr>
            <w:r>
              <w:rPr>
                <w:b/>
                <w:bCs/>
              </w:rPr>
              <w:t>Current heading</w:t>
            </w:r>
          </w:p>
        </w:tc>
        <w:tc>
          <w:tcPr>
            <w:tcW w:w="0" w:type="auto"/>
            <w:vAlign w:val="center"/>
            <w:hideMark/>
          </w:tcPr>
          <w:p w:rsidR="00202A57" w:rsidRDefault="00202A57">
            <w:pPr>
              <w:jc w:val="center"/>
              <w:rPr>
                <w:b/>
                <w:bCs/>
              </w:rPr>
            </w:pPr>
            <w:r>
              <w:rPr>
                <w:b/>
                <w:bCs/>
              </w:rPr>
              <w:t>Better heading</w:t>
            </w:r>
          </w:p>
        </w:tc>
      </w:tr>
      <w:tr w:rsidR="00202A57" w:rsidTr="00202A57">
        <w:trPr>
          <w:tblCellSpacing w:w="15" w:type="dxa"/>
        </w:trPr>
        <w:tc>
          <w:tcPr>
            <w:tcW w:w="0" w:type="auto"/>
            <w:vAlign w:val="center"/>
            <w:hideMark/>
          </w:tcPr>
          <w:p w:rsidR="00202A57" w:rsidRDefault="00202A57">
            <w:r>
              <w:rPr>
                <w:rStyle w:val="Strong"/>
              </w:rPr>
              <w:t>WHAT HAPPENED?</w:t>
            </w:r>
          </w:p>
        </w:tc>
        <w:tc>
          <w:tcPr>
            <w:tcW w:w="0" w:type="auto"/>
            <w:vAlign w:val="center"/>
            <w:hideMark/>
          </w:tcPr>
          <w:p w:rsidR="00202A57" w:rsidRDefault="00202A57">
            <w:r>
              <w:rPr>
                <w:rStyle w:val="Strong"/>
              </w:rPr>
              <w:t>FTC clearance converts Lannett from deal optionality into a consolidation event</w:t>
            </w:r>
          </w:p>
        </w:tc>
      </w:tr>
      <w:tr w:rsidR="00202A57" w:rsidTr="00202A57">
        <w:trPr>
          <w:tblCellSpacing w:w="15" w:type="dxa"/>
        </w:trPr>
        <w:tc>
          <w:tcPr>
            <w:tcW w:w="0" w:type="auto"/>
            <w:vAlign w:val="center"/>
            <w:hideMark/>
          </w:tcPr>
          <w:p w:rsidR="00202A57" w:rsidRDefault="00202A57">
            <w:r>
              <w:rPr>
                <w:rStyle w:val="Strong"/>
              </w:rPr>
              <w:t>ABOUT LANNETT</w:t>
            </w:r>
          </w:p>
        </w:tc>
        <w:tc>
          <w:tcPr>
            <w:tcW w:w="0" w:type="auto"/>
            <w:vAlign w:val="center"/>
            <w:hideMark/>
          </w:tcPr>
          <w:p w:rsidR="00202A57" w:rsidRDefault="00202A57">
            <w:r>
              <w:rPr>
                <w:rStyle w:val="Strong"/>
              </w:rPr>
              <w:t>Lannett: a US controlled-substance platform, not a commodity generics bolt-on</w:t>
            </w:r>
          </w:p>
        </w:tc>
      </w:tr>
      <w:tr w:rsidR="00202A57" w:rsidTr="00202A57">
        <w:trPr>
          <w:tblCellSpacing w:w="15" w:type="dxa"/>
        </w:trPr>
        <w:tc>
          <w:tcPr>
            <w:tcW w:w="0" w:type="auto"/>
            <w:vAlign w:val="center"/>
            <w:hideMark/>
          </w:tcPr>
          <w:p w:rsidR="00202A57" w:rsidRDefault="00202A57">
            <w:r>
              <w:rPr>
                <w:rStyle w:val="Strong"/>
              </w:rPr>
              <w:t>The most important product-level addition is ADHD</w:t>
            </w:r>
          </w:p>
        </w:tc>
        <w:tc>
          <w:tcPr>
            <w:tcW w:w="0" w:type="auto"/>
            <w:vAlign w:val="center"/>
            <w:hideMark/>
          </w:tcPr>
          <w:p w:rsidR="00202A57" w:rsidRDefault="00202A57">
            <w:r>
              <w:rPr>
                <w:rStyle w:val="Strong"/>
              </w:rPr>
              <w:t>ADHD is the strategic core: Aurobindo buys a capability it did not own</w:t>
            </w:r>
          </w:p>
        </w:tc>
      </w:tr>
      <w:tr w:rsidR="00202A57" w:rsidTr="00202A57">
        <w:trPr>
          <w:tblCellSpacing w:w="15" w:type="dxa"/>
        </w:trPr>
        <w:tc>
          <w:tcPr>
            <w:tcW w:w="0" w:type="auto"/>
            <w:vAlign w:val="center"/>
            <w:hideMark/>
          </w:tcPr>
          <w:p w:rsidR="00202A57" w:rsidRDefault="00202A57">
            <w:r>
              <w:rPr>
                <w:rStyle w:val="Strong"/>
              </w:rPr>
              <w:t>UPSIDE OPTIONALITY OF ADVAIR</w:t>
            </w:r>
          </w:p>
        </w:tc>
        <w:tc>
          <w:tcPr>
            <w:tcW w:w="0" w:type="auto"/>
            <w:vAlign w:val="center"/>
            <w:hideMark/>
          </w:tcPr>
          <w:p w:rsidR="00202A57" w:rsidRDefault="00202A57">
            <w:r>
              <w:rPr>
                <w:rStyle w:val="Strong"/>
              </w:rPr>
              <w:t>Advair adds respiratory optionality, but economics need to be risk-weighted</w:t>
            </w:r>
          </w:p>
        </w:tc>
      </w:tr>
      <w:tr w:rsidR="00202A57" w:rsidTr="00202A57">
        <w:trPr>
          <w:tblCellSpacing w:w="15" w:type="dxa"/>
        </w:trPr>
        <w:tc>
          <w:tcPr>
            <w:tcW w:w="0" w:type="auto"/>
            <w:vAlign w:val="center"/>
            <w:hideMark/>
          </w:tcPr>
          <w:p w:rsidR="00202A57" w:rsidRDefault="00202A57">
            <w:r>
              <w:rPr>
                <w:rStyle w:val="Strong"/>
              </w:rPr>
              <w:t>WHY DID AUROBINDO BUY LANNETT?</w:t>
            </w:r>
          </w:p>
        </w:tc>
        <w:tc>
          <w:tcPr>
            <w:tcW w:w="0" w:type="auto"/>
            <w:vAlign w:val="center"/>
            <w:hideMark/>
          </w:tcPr>
          <w:p w:rsidR="00202A57" w:rsidRDefault="00202A57">
            <w:r>
              <w:rPr>
                <w:rStyle w:val="Strong"/>
              </w:rPr>
              <w:t>Why Lannett? Portfolio access, US manufacturing and regulatory muscle at a reasonable price</w:t>
            </w:r>
          </w:p>
        </w:tc>
      </w:tr>
      <w:tr w:rsidR="00202A57" w:rsidTr="00202A57">
        <w:trPr>
          <w:tblCellSpacing w:w="15" w:type="dxa"/>
        </w:trPr>
        <w:tc>
          <w:tcPr>
            <w:tcW w:w="0" w:type="auto"/>
            <w:vAlign w:val="center"/>
            <w:hideMark/>
          </w:tcPr>
          <w:p w:rsidR="00202A57" w:rsidRDefault="00202A57">
            <w:r>
              <w:rPr>
                <w:rStyle w:val="Strong"/>
              </w:rPr>
              <w:t>EFFECTS OF ACQUISITION</w:t>
            </w:r>
          </w:p>
        </w:tc>
        <w:tc>
          <w:tcPr>
            <w:tcW w:w="0" w:type="auto"/>
            <w:vAlign w:val="center"/>
            <w:hideMark/>
          </w:tcPr>
          <w:p w:rsidR="00202A57" w:rsidRDefault="00202A57">
            <w:r>
              <w:rPr>
                <w:rStyle w:val="Strong"/>
              </w:rPr>
              <w:t>Financially accretive, strategically cleaner, but near-term margin dilutive</w:t>
            </w:r>
          </w:p>
        </w:tc>
      </w:tr>
      <w:tr w:rsidR="00202A57" w:rsidTr="00202A57">
        <w:trPr>
          <w:tblCellSpacing w:w="15" w:type="dxa"/>
        </w:trPr>
        <w:tc>
          <w:tcPr>
            <w:tcW w:w="0" w:type="auto"/>
            <w:vAlign w:val="center"/>
            <w:hideMark/>
          </w:tcPr>
          <w:p w:rsidR="00202A57" w:rsidRDefault="00202A57">
            <w:r>
              <w:rPr>
                <w:rStyle w:val="Strong"/>
              </w:rPr>
              <w:t>INVESTMENT IMPLICATIONS</w:t>
            </w:r>
          </w:p>
        </w:tc>
        <w:tc>
          <w:tcPr>
            <w:tcW w:w="0" w:type="auto"/>
            <w:vAlign w:val="center"/>
            <w:hideMark/>
          </w:tcPr>
          <w:p w:rsidR="00202A57" w:rsidRDefault="00202A57">
            <w:r>
              <w:rPr>
                <w:rStyle w:val="Strong"/>
              </w:rPr>
              <w:t>Investment view: de-risked acquisition, limited incremental upside</w:t>
            </w:r>
          </w:p>
        </w:tc>
      </w:tr>
    </w:tbl>
    <w:p w:rsidR="00202A57" w:rsidRDefault="00202A57">
      <w:pPr>
        <w:pStyle w:val="BodyText"/>
      </w:pPr>
    </w:p>
    <w:sectPr w:rsidR="00202A5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89221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4288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83EC6"/>
    <w:rsid w:val="00202A57"/>
    <w:rsid w:val="00F83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0D569D"/>
  <w15:docId w15:val="{096C3F00-EF8E-AC49-AE95-57C886C1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02A5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02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407232">
      <w:bodyDiv w:val="1"/>
      <w:marLeft w:val="0"/>
      <w:marRight w:val="0"/>
      <w:marTop w:val="0"/>
      <w:marBottom w:val="0"/>
      <w:divBdr>
        <w:top w:val="none" w:sz="0" w:space="0" w:color="auto"/>
        <w:left w:val="none" w:sz="0" w:space="0" w:color="auto"/>
        <w:bottom w:val="none" w:sz="0" w:space="0" w:color="auto"/>
        <w:right w:val="none" w:sz="0" w:space="0" w:color="auto"/>
      </w:divBdr>
      <w:divsChild>
        <w:div w:id="727806721">
          <w:marLeft w:val="0"/>
          <w:marRight w:val="0"/>
          <w:marTop w:val="0"/>
          <w:marBottom w:val="0"/>
          <w:divBdr>
            <w:top w:val="none" w:sz="0" w:space="0" w:color="auto"/>
            <w:left w:val="none" w:sz="0" w:space="0" w:color="auto"/>
            <w:bottom w:val="none" w:sz="0" w:space="0" w:color="auto"/>
            <w:right w:val="none" w:sz="0" w:space="0" w:color="auto"/>
          </w:divBdr>
          <w:divsChild>
            <w:div w:id="14244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Shirsh Sawarna</cp:lastModifiedBy>
  <cp:revision>2</cp:revision>
  <dcterms:created xsi:type="dcterms:W3CDTF">2026-06-23T10:48:00Z</dcterms:created>
  <dcterms:modified xsi:type="dcterms:W3CDTF">2026-06-23T10:48:00Z</dcterms:modified>
</cp:coreProperties>
</file>