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Aptos Display" w:hAnsi="Aptos Display"/>
          <w:b/>
          <w:color w:val="000000"/>
          <w:sz w:val="38"/>
        </w:rPr>
        <w:t>GSK India Initiation Cover Copy</w:t>
      </w:r>
    </w:p>
    <w:p>
      <w:pPr>
        <w:keepNext/>
        <w:spacing w:after="200"/>
      </w:pPr>
      <w:r>
        <w:rPr>
          <w:b/>
          <w:color w:val="1C3C53"/>
          <w:sz w:val="26"/>
        </w:rPr>
        <w:t xml:space="preserve">GSK India  </w:t>
      </w:r>
      <w:r>
        <w:rPr>
          <w:b/>
          <w:color w:val="299984"/>
          <w:sz w:val="26"/>
        </w:rPr>
        <w:t>Outperform  |  30% Upside</w:t>
      </w:r>
    </w:p>
    <w:p>
      <w:pPr>
        <w:keepNext/>
        <w:spacing w:before="100" w:after="80"/>
      </w:pPr>
      <w:r>
        <w:rPr>
          <w:rFonts w:ascii="Aptos Display" w:hAnsi="Aptos Display"/>
          <w:b/>
          <w:color w:val="1C3C53"/>
          <w:sz w:val="23"/>
        </w:rPr>
        <w:t>Company overview</w:t>
      </w:r>
    </w:p>
    <w:p>
      <w:pPr>
        <w:spacing w:after="96" w:line="252" w:lineRule="auto"/>
        <w:ind w:left="317" w:hanging="259"/>
      </w:pPr>
      <w:r>
        <w:rPr>
          <w:b/>
          <w:color w:val="249DCE"/>
          <w:sz w:val="20"/>
        </w:rPr>
        <w:t xml:space="preserve">+  </w:t>
      </w:r>
      <w:r>
        <w:rPr>
          <w:color w:val="000000"/>
        </w:rPr>
        <w:t>India-listed arm of global GSK, with a domestic formulations portfolio spanning General Medicines, Vaccines, Specialty Respiratory and Oncology, supported by the parent’s global innovation engine.</w:t>
      </w:r>
    </w:p>
    <w:p>
      <w:pPr>
        <w:spacing w:after="96" w:line="252" w:lineRule="auto"/>
        <w:ind w:left="317" w:hanging="259"/>
      </w:pPr>
      <w:r>
        <w:rPr>
          <w:b/>
          <w:color w:val="249DCE"/>
          <w:sz w:val="20"/>
        </w:rPr>
        <w:t xml:space="preserve">+  </w:t>
      </w:r>
      <w:r>
        <w:rPr>
          <w:color w:val="000000"/>
        </w:rPr>
        <w:t>General Medicines remains the earnings base, led by Augmentin, Calpol, Ceftum, Eltroxin and dermatology brands; FY26 revenue of ~₹2,867 Cr provides cash generation and broad prescriber access.</w:t>
      </w:r>
    </w:p>
    <w:p>
      <w:pPr>
        <w:spacing w:after="96" w:line="252" w:lineRule="auto"/>
        <w:ind w:left="317" w:hanging="259"/>
      </w:pPr>
      <w:r>
        <w:rPr>
          <w:b/>
          <w:color w:val="249DCE"/>
          <w:sz w:val="20"/>
        </w:rPr>
        <w:t xml:space="preserve">+  </w:t>
      </w:r>
      <w:r>
        <w:rPr>
          <w:color w:val="000000"/>
        </w:rPr>
        <w:t>Portfolio mix is shifting toward adult vaccines and specialty medicines through Shingrix, Arexvy, Trelegy, Nucala, Jemperli, Zejula and Blenrep, extending growth beyond the mature primary-care franchise.</w:t>
      </w:r>
    </w:p>
    <w:p>
      <w:pPr>
        <w:keepNext/>
        <w:spacing w:before="100" w:after="80"/>
      </w:pPr>
      <w:r>
        <w:rPr>
          <w:rFonts w:ascii="Aptos Display" w:hAnsi="Aptos Display"/>
          <w:b/>
          <w:color w:val="1C3C53"/>
          <w:sz w:val="23"/>
        </w:rPr>
        <w:t>Company thesis</w:t>
      </w:r>
    </w:p>
    <w:p>
      <w:pPr>
        <w:spacing w:after="100" w:line="247" w:lineRule="auto"/>
      </w:pPr>
      <w:r>
        <w:rPr>
          <w:b/>
          <w:color w:val="1C3C53"/>
          <w:sz w:val="20"/>
        </w:rPr>
        <w:t>FY26–28 revenue/EPS CAGR of ~15%/~16%, while EBITDA margin rises from 34.3% to 35.0%, driven by four growth engines operating together</w:t>
      </w:r>
    </w:p>
    <w:p>
      <w:pPr>
        <w:spacing w:after="96" w:line="252" w:lineRule="auto"/>
        <w:ind w:left="317" w:hanging="259"/>
      </w:pPr>
      <w:r>
        <w:rPr>
          <w:b/>
          <w:color w:val="249DCE"/>
          <w:sz w:val="20"/>
        </w:rPr>
        <w:t xml:space="preserve">+  </w:t>
      </w:r>
      <w:r>
        <w:rPr>
          <w:b/>
          <w:color w:val="1C3C53"/>
        </w:rPr>
        <w:t>Core portfolio compounds:</w:t>
      </w:r>
      <w:r>
        <w:rPr>
          <w:color w:val="000000"/>
        </w:rPr>
        <w:t xml:space="preserve"> General Medicines grows from ~₹2,867 Cr in FY26 to ~₹3,245 Cr in FY28, with Augmentin, Calpol, dermatology and Eltroxin sustaining mid-single-digit growth from established doctor equity.</w:t>
      </w:r>
    </w:p>
    <w:p>
      <w:pPr>
        <w:spacing w:after="96" w:line="252" w:lineRule="auto"/>
        <w:ind w:left="317" w:hanging="259"/>
      </w:pPr>
      <w:r>
        <w:rPr>
          <w:b/>
          <w:color w:val="249DCE"/>
          <w:sz w:val="20"/>
        </w:rPr>
        <w:t xml:space="preserve">+  </w:t>
      </w:r>
      <w:r>
        <w:rPr>
          <w:b/>
          <w:color w:val="1C3C53"/>
        </w:rPr>
        <w:t>Adult vaccines inflect:</w:t>
      </w:r>
      <w:r>
        <w:rPr>
          <w:color w:val="000000"/>
        </w:rPr>
        <w:t xml:space="preserve"> Vaccine revenue rises from ~₹732 Cr to ~₹1,016 Cr over FY26–28, led by Shingrix penetration and the Arexvy launch, as GSK leverages its established paediatric-vaccine infrastructure in the underpenetrated adult market.</w:t>
      </w:r>
    </w:p>
    <w:p>
      <w:pPr>
        <w:spacing w:after="96" w:line="252" w:lineRule="auto"/>
        <w:ind w:left="317" w:hanging="259"/>
      </w:pPr>
      <w:r>
        <w:rPr>
          <w:b/>
          <w:color w:val="249DCE"/>
          <w:sz w:val="20"/>
        </w:rPr>
        <w:t xml:space="preserve">+  </w:t>
      </w:r>
      <w:r>
        <w:rPr>
          <w:b/>
          <w:color w:val="1C3C53"/>
        </w:rPr>
        <w:t>Oncology establishes a new growth vertical:</w:t>
      </w:r>
      <w:r>
        <w:rPr>
          <w:color w:val="000000"/>
        </w:rPr>
        <w:t xml:space="preserve"> Jemperli and Zejula provide the initial platform, while Blenrep’s FY27 launch expands GSK into multiple myeloma; we forecast oncology revenue reaching ~₹382 Cr by FY28 from ~₹23 Cr in FY26.</w:t>
      </w:r>
    </w:p>
    <w:p>
      <w:pPr>
        <w:spacing w:after="96" w:line="252" w:lineRule="auto"/>
        <w:ind w:left="317" w:hanging="259"/>
      </w:pPr>
      <w:r>
        <w:rPr>
          <w:b/>
          <w:color w:val="249DCE"/>
          <w:sz w:val="20"/>
        </w:rPr>
        <w:t xml:space="preserve">+  </w:t>
      </w:r>
      <w:r>
        <w:rPr>
          <w:b/>
          <w:color w:val="1C3C53"/>
        </w:rPr>
        <w:t>Specialty respiratory adds durability:</w:t>
      </w:r>
      <w:r>
        <w:rPr>
          <w:color w:val="000000"/>
        </w:rPr>
        <w:t xml:space="preserve"> Trelegy, Nucala and the broader respiratory portfolio grow from ~₹180 Cr in FY26 to ~₹226 Cr in FY28, supported by therapy upgrades toward triple therapy and biologics.</w:t>
      </w:r>
    </w:p>
    <w:p>
      <w:pPr>
        <w:keepNext/>
        <w:spacing w:before="100" w:after="80"/>
      </w:pPr>
      <w:r>
        <w:rPr>
          <w:rFonts w:ascii="Aptos Display" w:hAnsi="Aptos Display"/>
          <w:b/>
          <w:color w:val="1C3C53"/>
          <w:sz w:val="23"/>
        </w:rPr>
        <w:t>Valuation</w:t>
      </w:r>
    </w:p>
    <w:p>
      <w:pPr>
        <w:spacing w:after="96" w:line="252" w:lineRule="auto"/>
        <w:ind w:left="317" w:hanging="259"/>
      </w:pPr>
      <w:r>
        <w:rPr>
          <w:b/>
          <w:color w:val="249DCE"/>
          <w:sz w:val="20"/>
        </w:rPr>
        <w:t xml:space="preserve">+  </w:t>
      </w:r>
      <w:r>
        <w:rPr>
          <w:color w:val="000000"/>
        </w:rPr>
        <w:t>We value GSK India at 45x FY29E EPS of ₹96.3, deriving a target price of ₹4,335 and ~30% upside; the premium multiple reflects 15% FY26–28 revenue CAGR, improving specialty mix and visibility from the global GSK launch pipeline.</w:t>
      </w:r>
    </w:p>
    <w:p>
      <w:pPr>
        <w:keepNext/>
        <w:spacing w:before="100" w:after="80"/>
      </w:pPr>
      <w:r>
        <w:rPr>
          <w:rFonts w:ascii="Aptos Display" w:hAnsi="Aptos Display"/>
          <w:b/>
          <w:color w:val="1C3C53"/>
          <w:sz w:val="23"/>
        </w:rPr>
        <w:t>Summary</w:t>
      </w:r>
    </w:p>
    <w:p>
      <w:pPr>
        <w:spacing w:after="96" w:line="252" w:lineRule="auto"/>
        <w:ind w:left="317" w:hanging="259"/>
      </w:pPr>
      <w:r>
        <w:rPr>
          <w:b/>
          <w:color w:val="249DCE"/>
          <w:sz w:val="20"/>
        </w:rPr>
        <w:t xml:space="preserve">+  </w:t>
      </w:r>
      <w:r>
        <w:rPr>
          <w:color w:val="000000"/>
        </w:rPr>
        <w:t>GSK India is transitioning from a mature primary-care franchise to a vaccines-and-specialty-led model, with legacy brands funding the transition and oncology, adult vaccines and respiratory driving sustained earnings growth beyond FY28.</w:t>
      </w:r>
    </w:p>
    <w:p>
      <w:pPr>
        <w:spacing w:before="140" w:after="0"/>
      </w:pPr>
      <w:r>
        <w:rPr>
          <w:b/>
          <w:color w:val="5C656D"/>
          <w:sz w:val="16"/>
        </w:rPr>
        <w:t xml:space="preserve">Model note  </w:t>
      </w:r>
      <w:r>
        <w:rPr>
          <w:i/>
          <w:color w:val="5C656D"/>
          <w:sz w:val="16"/>
        </w:rPr>
        <w:t>Financial figures are aligned with the current GSK India model. The ₹4,335 target price assumes a 45x FY29E P/E multiple.</w:t>
      </w:r>
    </w:p>
    <w:sectPr w:rsidR="00FC693F" w:rsidRPr="0006063C" w:rsidSect="00034616">
      <w:footerReference w:type="default" r:id="rId9"/>
      <w:pgSz w:w="12240" w:h="15840"/>
      <w:pgMar w:top="1037" w:right="979" w:bottom="72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C656D"/>
        <w:sz w:val="15"/>
      </w:rPr>
      <w:t>GSK India initiation  |  Draft cover-slide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