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Abbott India initiation slide copy</w:t>
      </w:r>
    </w:p>
    <w:p>
      <w:pPr>
        <w:spacing w:after="100"/>
      </w:pPr>
      <w:r>
        <w:rPr>
          <w:b/>
          <w:sz w:val="26"/>
        </w:rPr>
        <w:t>Abbott India: Market Perform - 3% Downside</w:t>
      </w:r>
    </w:p>
    <w:p>
      <w:pPr>
        <w:pStyle w:val="Heading1"/>
      </w:pPr>
      <w:r>
        <w:t>Company overview</w:t>
      </w:r>
    </w:p>
    <w:p>
      <w:pPr>
        <w:pStyle w:val="ListBullet"/>
        <w:widowControl/>
      </w:pPr>
      <w:r>
        <w:t>India-listed Abbott subsidiary, selling branded medicines across GI, women’s health, metabolics, CNS, vaccines and other key therapy areas.</w:t>
      </w:r>
    </w:p>
    <w:p>
      <w:pPr>
        <w:pStyle w:val="ListBullet"/>
        <w:widowControl/>
      </w:pPr>
      <w:r>
        <w:t>Established brands including Thyronorm, Udiliv, Duphaston, Cremaffin and Duphalac anchor earnings. Growth depends on prescription expansion and brand extensions, while the Novo Nordisk partnership adds Extensior, a semaglutide brand for type 2 diabetes.</w:t>
      </w:r>
    </w:p>
    <w:p>
      <w:pPr>
        <w:pStyle w:val="Heading1"/>
      </w:pPr>
      <w:r>
        <w:t>Company thesis</w:t>
      </w:r>
    </w:p>
    <w:p>
      <w:pPr>
        <w:pStyle w:val="ListBullet"/>
        <w:widowControl/>
      </w:pPr>
      <w:r>
        <w:t>FY26–28 sales/EPS CAGR of 9.6%/8.3%, while EBITDA margin eases from 27.3% to 26.8%, with four drivers shaping our investment view.</w:t>
      </w:r>
    </w:p>
    <w:p>
      <w:pPr>
        <w:pStyle w:val="ListBullet"/>
        <w:widowControl/>
      </w:pPr>
      <w:r>
        <w:rPr>
          <w:b/>
        </w:rPr>
        <w:t>Legacy brands anchor growth:</w:t>
      </w:r>
      <w:r>
        <w:t xml:space="preserve"> We forecast GI revenue rising from ₹26,329 Mn in FY26 to ₹31,771 Mn in FY28, with Udiliv, Cremaffin and Duphalac accounting for most incremental revenue.</w:t>
      </w:r>
    </w:p>
    <w:p>
      <w:pPr>
        <w:pStyle w:val="ListBullet"/>
        <w:widowControl/>
      </w:pPr>
      <w:r>
        <w:rPr>
          <w:b/>
        </w:rPr>
        <w:t>Women’s health faces competition:</w:t>
      </w:r>
      <w:r>
        <w:t xml:space="preserve"> We forecast sales rising from ₹9,000 Mn to ₹10,005 Mn over FY26–28. Cheaper oral dydrogesterone brands and Mankind’s BSV portfolio compete for gynae prescriptions, putting pressure on Duphaston’s price premium.</w:t>
      </w:r>
    </w:p>
    <w:p>
      <w:pPr>
        <w:pStyle w:val="ListBullet"/>
        <w:widowControl/>
      </w:pPr>
      <w:r>
        <w:rPr>
          <w:b/>
        </w:rPr>
        <w:t>Extensior provides an offset:</w:t>
      </w:r>
      <w:r>
        <w:t xml:space="preserve"> We model revenue rising from ₹50 Mn in FY26 to ₹2,100 Mn by FY28. The Novo Nordisk partnership adds a GLP-1 driver, although the earnings contribution depends on uptake and commercial terms.</w:t>
      </w:r>
    </w:p>
    <w:p>
      <w:pPr>
        <w:pStyle w:val="ListBullet"/>
        <w:widowControl/>
      </w:pPr>
      <w:r>
        <w:rPr>
          <w:b/>
        </w:rPr>
        <w:t>Vaccines grow steadily:</w:t>
      </w:r>
      <w:r>
        <w:t xml:space="preserve"> We forecast 7.3% FY26–28 CAGR, with sales up from ₹5,500 Mn to ₹6,330 Mn. Influvac anchors the franchise, while Pneumoshield 14 and Havshield broaden Abbott’s existing vaccine portfolio.</w:t>
      </w:r>
    </w:p>
    <w:p>
      <w:pPr>
        <w:pStyle w:val="Heading1"/>
      </w:pPr>
      <w:r>
        <w:t>Valuation</w:t>
      </w:r>
    </w:p>
    <w:p>
      <w:pPr>
        <w:pStyle w:val="ListBullet"/>
        <w:widowControl/>
      </w:pPr>
      <w:r>
        <w:t>We rate Abbott India Market Perform, with 3% downside. Our FY28E EPS forecast of ₹856.9 implies 8.3% CAGR over FY26–28. Brand equity merits a premium, but generic rivals and margin pressure leave little room for P/E to rise.</w:t>
      </w:r>
    </w:p>
    <w:p>
      <w:pPr>
        <w:pStyle w:val="Heading1"/>
      </w:pPr>
      <w:r>
        <w:t>Summary</w:t>
      </w:r>
    </w:p>
    <w:p>
      <w:pPr>
        <w:pStyle w:val="ListBullet"/>
        <w:widowControl/>
      </w:pPr>
      <w:r>
        <w:t>Abbott India’s legacy brands support steady growth, but women’s health competition and margin pressure constrain earnings acceleration. Selective launches provide offsets, while 3% downside to our target price supports Market Perform.</w:t>
      </w:r>
    </w:p>
    <w:p>
      <w:r>
        <w:br w:type="page"/>
      </w:r>
    </w:p>
    <w:p>
      <w:pPr>
        <w:pStyle w:val="Title"/>
      </w:pPr>
      <w:r>
        <w:t>Sources and length checks</w:t>
      </w:r>
    </w:p>
    <w:p>
      <w:pPr>
        <w:spacing w:after="180"/>
      </w:pPr>
      <w:r>
        <w:t>The nine text blocks follow the reference in order. Each matches its reference word count and contains no more characters. Counts exclude bullet symbols and section labels.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2592"/>
        <w:gridCol w:w="2664"/>
      </w:tblGrid>
      <w:tr>
        <w:trPr>
          <w:tblHeader/>
        </w:trP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fill="EDEDED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Text block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words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Abbott words</w:t>
            </w:r>
          </w:p>
        </w:tc>
      </w:tr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Overview 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18</w:t>
            </w:r>
          </w:p>
        </w:tc>
      </w:tr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Overview 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33</w:t>
            </w:r>
          </w:p>
        </w:tc>
      </w:tr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Thesis 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Thesis 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Thesis 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34</w:t>
            </w:r>
          </w:p>
        </w:tc>
      </w:tr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Thesis 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36</w:t>
            </w:r>
          </w:p>
        </w:tc>
      </w:tr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Thesis 5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Valuation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38</w:t>
            </w:r>
          </w:p>
        </w:tc>
      </w:tr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Summary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31</w:t>
            </w:r>
          </w:p>
        </w:tc>
      </w:tr>
    </w:tbl>
    <w:p>
      <w:pPr>
        <w:pStyle w:val="Heading1"/>
      </w:pPr>
      <w:r>
        <w:t>Source notes</w:t>
      </w:r>
    </w:p>
    <w:p>
      <w:pPr>
        <w:spacing w:after="100" w:line="240" w:lineRule="auto"/>
      </w:pPr>
      <w:r>
        <w:rPr>
          <w:b/>
          <w:sz w:val="18"/>
        </w:rPr>
        <w:t xml:space="preserve">Forecasts. </w:t>
      </w:r>
      <w:r>
        <w:rPr>
          <w:sz w:val="18"/>
        </w:rPr>
        <w:t>Abbott_Revenue_Model.xlsx, version 2, saved 27 September 2026. Revenue Model: H14/R14 (GI), H23/R23 (women’s health), H17/R17 (Extensior), H36/R36 (vaccines). P&amp;L: F6/P6 (revenue), F16/P16 (EBITDA margin), F30/P30 (EPS). CAGR uses two annual periods. Therapy and brand sales are model estimates.</w:t>
      </w:r>
    </w:p>
    <w:p>
      <w:pPr>
        <w:spacing w:after="100" w:line="240" w:lineRule="auto"/>
      </w:pPr>
      <w:r>
        <w:rPr>
          <w:b/>
          <w:sz w:val="18"/>
        </w:rPr>
        <w:t xml:space="preserve">Company disclosures. </w:t>
      </w:r>
      <w:r>
        <w:rPr>
          <w:sz w:val="18"/>
        </w:rPr>
        <w:t>Abbott India FY26 annual report, printed pp20–25,30–33: business areas, key brands, Extensior and Novo Nordisk, dydrogesterone competition, and vaccine portfolio. FY26 financials: printed p177. Ultimate parent: printed p200.</w:t>
      </w:r>
    </w:p>
    <w:p>
      <w:pPr>
        <w:spacing w:after="100" w:line="240" w:lineRule="auto"/>
      </w:pPr>
      <w:r>
        <w:rPr>
          <w:b/>
          <w:sz w:val="18"/>
        </w:rPr>
        <w:t xml:space="preserve">Competitive evidence. </w:t>
      </w:r>
      <w:r>
        <w:rPr>
          <w:sz w:val="18"/>
        </w:rPr>
        <w:t>Mankind Q1FY27 earnings call, 30 July 2026, transcript pp4,17: Dydroboon and fertility brands, and BSV specialist coverage. Competition and valuation conclusions are analyst interpretations.</w:t>
      </w:r>
    </w:p>
    <w:p>
      <w:pPr>
        <w:spacing w:after="100" w:line="240" w:lineRule="auto"/>
      </w:pPr>
      <w:r>
        <w:rPr>
          <w:b/>
          <w:sz w:val="18"/>
        </w:rPr>
        <w:t xml:space="preserve">Forecast sensitivity. </w:t>
      </w:r>
      <w:r>
        <w:rPr>
          <w:sz w:val="18"/>
        </w:rPr>
        <w:t>The saved Extensior forecast assumes full revenue capture. Commercial economics are not disclosed in the material reviewed. The copy therefore qualifies its earnings contribution. Market Perform and 3% price downside follow the instructed rating and return assumption.</w:t>
      </w:r>
    </w:p>
    <w:p>
      <w:pPr>
        <w:spacing w:after="80" w:line="240" w:lineRule="auto"/>
      </w:pPr>
      <w:r>
        <w:rPr>
          <w:sz w:val="17"/>
        </w:rPr>
        <w:t xml:space="preserve">Annual report </w:t>
      </w:r>
      <w:hyperlink r:id="rId9">
        <w:r>
          <w:rPr>
            <w:sz w:val="17"/>
          </w:rPr>
          <w:t>https://www.abbott.co.in/content/dam/corp/abbott/en-ind/pdf/financials/2025-26-Annual-Report.pdf</w:t>
        </w:r>
      </w:hyperlink>
    </w:p>
    <w:p>
      <w:pPr>
        <w:spacing w:after="80" w:line="240" w:lineRule="auto"/>
      </w:pPr>
      <w:r>
        <w:rPr>
          <w:sz w:val="17"/>
        </w:rPr>
        <w:t xml:space="preserve">Mankind call </w:t>
      </w:r>
      <w:hyperlink r:id="rId10">
        <w:r>
          <w:rPr>
            <w:sz w:val="17"/>
          </w:rPr>
          <w:t>https://nsearchives.nseindia.com/corporate/MANKIND1_04082026131209_EarningCallFinal.pdf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0" w:lineRule="auto"/>
      <w:ind w:left="230" w:hanging="202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bott.co.in/content/dam/corp/abbott/en-ind/pdf/financials/2025-26-Annual-Report.pdf" TargetMode="External"/><Relationship Id="rId10" Type="http://schemas.openxmlformats.org/officeDocument/2006/relationships/hyperlink" Target="https://nsearchives.nseindia.com/corporate/MANKIND1_04082026131209_EarningCallFin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Abbott India initiation slide copy</dc:title>
  <dc:subject>Market Perform with 3 percent downside</dc:subject>
  <dc:creator>Shirsh Sawarna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