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55A8C" w:rsidRDefault="00000000">
      <w:r>
        <w:rPr>
          <w:b/>
        </w:rPr>
        <w:t xml:space="preserve">Canada now has the strongest proof of Shaily’s semaglutide pen adoption and the clearest quality question. </w:t>
      </w:r>
      <w:r>
        <w:t>Apotex’s marketed pen is Neo; a subsequent Canadian recall identifies a possible 4</w:t>
      </w:r>
      <w:r w:rsidR="00DA6B7B">
        <w:t>-</w:t>
      </w:r>
      <w:r>
        <w:t>8× overdose in one starter-pen lot. Brazil offers a credible Shaily route through Adalvo, but no disclosed brand-level volume. The innovator target and Mira remain development opportunities rather than committed products.</w:t>
      </w:r>
    </w:p>
    <w:p w:rsidR="00655A8C" w:rsidRDefault="00000000">
      <w:pPr>
        <w:pStyle w:val="Heading1"/>
      </w:pPr>
      <w:proofErr w:type="gramStart"/>
      <w:r>
        <w:t>A  Brazil</w:t>
      </w:r>
      <w:proofErr w:type="gramEnd"/>
      <w:r>
        <w:t xml:space="preserve"> has two independent entrants beyond Sun</w:t>
      </w:r>
    </w:p>
    <w:tbl>
      <w:tblPr>
        <w:tblW w:w="0" w:type="auto"/>
        <w:jc w:val="center"/>
        <w:tblLayout w:type="fixed"/>
        <w:tblLook w:val="04A0" w:firstRow="1" w:lastRow="0" w:firstColumn="1" w:lastColumn="0" w:noHBand="0" w:noVBand="1"/>
      </w:tblPr>
      <w:tblGrid>
        <w:gridCol w:w="3331"/>
        <w:gridCol w:w="3931"/>
        <w:gridCol w:w="4262"/>
      </w:tblGrid>
      <w:tr w:rsidR="00655A8C">
        <w:trPr>
          <w:jc w:val="center"/>
        </w:trPr>
        <w:tc>
          <w:tcPr>
            <w:tcW w:w="3331" w:type="dxa"/>
            <w:tcBorders>
              <w:top w:val="single" w:sz="4" w:space="0" w:color="D9D9D9"/>
              <w:left w:val="single" w:sz="4" w:space="0" w:color="D9D9D9"/>
              <w:bottom w:val="single" w:sz="4" w:space="0" w:color="D9D9D9"/>
              <w:right w:val="single" w:sz="4" w:space="0" w:color="D9D9D9"/>
            </w:tcBorders>
            <w:shd w:val="clear" w:color="auto" w:fill="26384E"/>
            <w:tcMar>
              <w:top w:w="95" w:type="dxa"/>
              <w:left w:w="95" w:type="dxa"/>
              <w:bottom w:w="95" w:type="dxa"/>
              <w:right w:w="95" w:type="dxa"/>
            </w:tcMar>
            <w:vAlign w:val="center"/>
          </w:tcPr>
          <w:p w:rsidR="00655A8C" w:rsidRDefault="00000000">
            <w:pPr>
              <w:spacing w:after="0" w:line="264" w:lineRule="auto"/>
            </w:pPr>
            <w:r>
              <w:rPr>
                <w:b/>
                <w:color w:val="FFFFFF"/>
                <w:sz w:val="16"/>
              </w:rPr>
              <w:t>Drug sponsor</w:t>
            </w:r>
          </w:p>
        </w:tc>
        <w:tc>
          <w:tcPr>
            <w:tcW w:w="3331" w:type="dxa"/>
            <w:tcBorders>
              <w:top w:val="single" w:sz="4" w:space="0" w:color="D9D9D9"/>
              <w:left w:val="single" w:sz="4" w:space="0" w:color="D9D9D9"/>
              <w:bottom w:val="single" w:sz="4" w:space="0" w:color="D9D9D9"/>
              <w:right w:val="single" w:sz="4" w:space="0" w:color="D9D9D9"/>
            </w:tcBorders>
            <w:shd w:val="clear" w:color="auto" w:fill="26384E"/>
            <w:tcMar>
              <w:top w:w="95" w:type="dxa"/>
              <w:left w:w="95" w:type="dxa"/>
              <w:bottom w:w="95" w:type="dxa"/>
              <w:right w:w="95" w:type="dxa"/>
            </w:tcMar>
            <w:vAlign w:val="center"/>
          </w:tcPr>
          <w:p w:rsidR="00655A8C" w:rsidRDefault="00000000">
            <w:pPr>
              <w:spacing w:after="0" w:line="264" w:lineRule="auto"/>
            </w:pPr>
            <w:r>
              <w:rPr>
                <w:b/>
                <w:color w:val="FFFFFF"/>
                <w:sz w:val="16"/>
              </w:rPr>
              <w:t>Brazil pen</w:t>
            </w:r>
          </w:p>
        </w:tc>
        <w:tc>
          <w:tcPr>
            <w:tcW w:w="3331" w:type="dxa"/>
            <w:tcBorders>
              <w:top w:val="single" w:sz="4" w:space="0" w:color="D9D9D9"/>
              <w:left w:val="single" w:sz="4" w:space="0" w:color="D9D9D9"/>
              <w:bottom w:val="single" w:sz="4" w:space="0" w:color="D9D9D9"/>
              <w:right w:val="single" w:sz="4" w:space="0" w:color="D9D9D9"/>
            </w:tcBorders>
            <w:shd w:val="clear" w:color="auto" w:fill="26384E"/>
            <w:tcMar>
              <w:top w:w="95" w:type="dxa"/>
              <w:left w:w="95" w:type="dxa"/>
              <w:bottom w:w="95" w:type="dxa"/>
              <w:right w:w="95" w:type="dxa"/>
            </w:tcMar>
            <w:vAlign w:val="center"/>
          </w:tcPr>
          <w:p w:rsidR="00655A8C" w:rsidRDefault="00000000">
            <w:pPr>
              <w:spacing w:after="0" w:line="264" w:lineRule="auto"/>
            </w:pPr>
            <w:r>
              <w:rPr>
                <w:b/>
                <w:color w:val="FFFFFF"/>
                <w:sz w:val="16"/>
              </w:rPr>
              <w:t>Where Shaily sits</w:t>
            </w:r>
          </w:p>
        </w:tc>
      </w:tr>
      <w:tr w:rsidR="00655A8C">
        <w:trPr>
          <w:jc w:val="center"/>
        </w:trPr>
        <w:tc>
          <w:tcPr>
            <w:tcW w:w="1800"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rsidR="00655A8C" w:rsidRDefault="00000000">
            <w:pPr>
              <w:spacing w:after="0" w:line="264" w:lineRule="auto"/>
            </w:pPr>
            <w:r>
              <w:rPr>
                <w:color w:val="14191E"/>
                <w:sz w:val="16"/>
              </w:rPr>
              <w:t>Sun and Hypera</w:t>
            </w:r>
          </w:p>
        </w:tc>
        <w:tc>
          <w:tcPr>
            <w:tcW w:w="3931"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rsidR="00655A8C" w:rsidRDefault="00000000">
            <w:pPr>
              <w:spacing w:after="0" w:line="264" w:lineRule="auto"/>
            </w:pPr>
            <w:r>
              <w:rPr>
                <w:color w:val="14191E"/>
                <w:sz w:val="16"/>
              </w:rPr>
              <w:t xml:space="preserve">Sun supplies semaglutide; Hypera commercializes Semavy. The Sun product is a 2 mg/1.5 mL or 4 mg/3 mL multidose pen. </w:t>
            </w:r>
          </w:p>
        </w:tc>
        <w:tc>
          <w:tcPr>
            <w:tcW w:w="426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rsidR="00655A8C" w:rsidRDefault="00000000">
            <w:pPr>
              <w:spacing w:after="0" w:line="264" w:lineRule="auto"/>
            </w:pPr>
            <w:proofErr w:type="spellStart"/>
            <w:r>
              <w:rPr>
                <w:color w:val="14191E"/>
                <w:sz w:val="16"/>
              </w:rPr>
              <w:t>Hypera</w:t>
            </w:r>
            <w:proofErr w:type="spellEnd"/>
            <w:r>
              <w:rPr>
                <w:color w:val="14191E"/>
                <w:sz w:val="16"/>
              </w:rPr>
              <w:t xml:space="preserve"> is Sun’s partner, so its registrations should not be counted as an independent </w:t>
            </w:r>
            <w:proofErr w:type="spellStart"/>
            <w:r>
              <w:rPr>
                <w:color w:val="14191E"/>
                <w:sz w:val="16"/>
              </w:rPr>
              <w:t>Shaily</w:t>
            </w:r>
            <w:proofErr w:type="spellEnd"/>
            <w:r>
              <w:rPr>
                <w:color w:val="14191E"/>
                <w:sz w:val="16"/>
              </w:rPr>
              <w:t xml:space="preserve"> opportunity</w:t>
            </w:r>
            <w:r w:rsidR="00DA6B7B">
              <w:rPr>
                <w:color w:val="14191E"/>
                <w:sz w:val="16"/>
              </w:rPr>
              <w:t xml:space="preserve">, but we estimate that </w:t>
            </w:r>
            <w:proofErr w:type="spellStart"/>
            <w:r w:rsidR="00DA6B7B">
              <w:rPr>
                <w:color w:val="14191E"/>
                <w:sz w:val="16"/>
              </w:rPr>
              <w:t>shaily</w:t>
            </w:r>
            <w:proofErr w:type="spellEnd"/>
            <w:r w:rsidR="00DA6B7B">
              <w:rPr>
                <w:color w:val="14191E"/>
                <w:sz w:val="16"/>
              </w:rPr>
              <w:t xml:space="preserve"> is the supplier</w:t>
            </w:r>
          </w:p>
        </w:tc>
      </w:tr>
      <w:tr w:rsidR="00655A8C">
        <w:trPr>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2F5F8"/>
            <w:tcMar>
              <w:top w:w="95" w:type="dxa"/>
              <w:left w:w="95" w:type="dxa"/>
              <w:bottom w:w="95" w:type="dxa"/>
              <w:right w:w="95" w:type="dxa"/>
            </w:tcMar>
            <w:vAlign w:val="center"/>
          </w:tcPr>
          <w:p w:rsidR="00655A8C" w:rsidRDefault="00000000">
            <w:pPr>
              <w:spacing w:after="0" w:line="264" w:lineRule="auto"/>
            </w:pPr>
            <w:r>
              <w:rPr>
                <w:color w:val="14191E"/>
                <w:sz w:val="16"/>
              </w:rPr>
              <w:t>EMS</w:t>
            </w:r>
          </w:p>
        </w:tc>
        <w:tc>
          <w:tcPr>
            <w:tcW w:w="3931" w:type="dxa"/>
            <w:tcBorders>
              <w:top w:val="single" w:sz="4" w:space="0" w:color="D9D9D9"/>
              <w:left w:val="single" w:sz="4" w:space="0" w:color="D9D9D9"/>
              <w:bottom w:val="single" w:sz="4" w:space="0" w:color="D9D9D9"/>
              <w:right w:val="single" w:sz="4" w:space="0" w:color="D9D9D9"/>
            </w:tcBorders>
            <w:shd w:val="clear" w:color="auto" w:fill="F2F5F8"/>
            <w:tcMar>
              <w:top w:w="95" w:type="dxa"/>
              <w:left w:w="95" w:type="dxa"/>
              <w:bottom w:w="95" w:type="dxa"/>
              <w:right w:w="95" w:type="dxa"/>
            </w:tcMar>
            <w:vAlign w:val="center"/>
          </w:tcPr>
          <w:p w:rsidR="00655A8C" w:rsidRDefault="00000000">
            <w:pPr>
              <w:spacing w:after="0" w:line="264" w:lineRule="auto"/>
            </w:pPr>
            <w:r>
              <w:rPr>
                <w:color w:val="14191E"/>
                <w:sz w:val="16"/>
              </w:rPr>
              <w:t xml:space="preserve">Ozivy. EMS says its peptide and injectable-pen production is integrated at Hortolândia. </w:t>
            </w:r>
          </w:p>
        </w:tc>
        <w:tc>
          <w:tcPr>
            <w:tcW w:w="4262" w:type="dxa"/>
            <w:tcBorders>
              <w:top w:val="single" w:sz="4" w:space="0" w:color="D9D9D9"/>
              <w:left w:val="single" w:sz="4" w:space="0" w:color="D9D9D9"/>
              <w:bottom w:val="single" w:sz="4" w:space="0" w:color="D9D9D9"/>
              <w:right w:val="single" w:sz="4" w:space="0" w:color="D9D9D9"/>
            </w:tcBorders>
            <w:shd w:val="clear" w:color="auto" w:fill="F2F5F8"/>
            <w:tcMar>
              <w:top w:w="95" w:type="dxa"/>
              <w:left w:w="95" w:type="dxa"/>
              <w:bottom w:w="95" w:type="dxa"/>
              <w:right w:w="95" w:type="dxa"/>
            </w:tcMar>
            <w:vAlign w:val="center"/>
          </w:tcPr>
          <w:p w:rsidR="00655A8C" w:rsidRDefault="00000000">
            <w:pPr>
              <w:spacing w:after="0" w:line="264" w:lineRule="auto"/>
            </w:pPr>
            <w:r>
              <w:rPr>
                <w:color w:val="14191E"/>
                <w:sz w:val="16"/>
              </w:rPr>
              <w:t>No public evidence for a Shaily pen. EMS does not identify the mechanism supplier.</w:t>
            </w:r>
          </w:p>
        </w:tc>
      </w:tr>
      <w:tr w:rsidR="00655A8C">
        <w:trPr>
          <w:jc w:val="center"/>
        </w:trPr>
        <w:tc>
          <w:tcPr>
            <w:tcW w:w="1800"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rsidR="00655A8C" w:rsidRDefault="00000000">
            <w:pPr>
              <w:spacing w:after="0" w:line="264" w:lineRule="auto"/>
            </w:pPr>
            <w:r>
              <w:rPr>
                <w:color w:val="14191E"/>
                <w:sz w:val="16"/>
              </w:rPr>
              <w:t>Adalvo / Sandoz / Biolab</w:t>
            </w:r>
          </w:p>
        </w:tc>
        <w:tc>
          <w:tcPr>
            <w:tcW w:w="3931"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rsidR="00655A8C" w:rsidRDefault="00000000">
            <w:pPr>
              <w:spacing w:after="0" w:line="264" w:lineRule="auto"/>
            </w:pPr>
            <w:r>
              <w:rPr>
                <w:color w:val="14191E"/>
                <w:sz w:val="16"/>
              </w:rPr>
              <w:t xml:space="preserve">Owozy. Adalvo developed the product, Sandoz supplies it and Biolab commercializes it. Retail arrival was expected in Q4 2026. </w:t>
            </w:r>
          </w:p>
        </w:tc>
        <w:tc>
          <w:tcPr>
            <w:tcW w:w="426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rsidR="00655A8C" w:rsidRDefault="00000000">
            <w:pPr>
              <w:spacing w:after="0" w:line="264" w:lineRule="auto"/>
            </w:pPr>
            <w:proofErr w:type="spellStart"/>
            <w:r>
              <w:rPr>
                <w:color w:val="14191E"/>
                <w:sz w:val="16"/>
              </w:rPr>
              <w:t>Adalvo</w:t>
            </w:r>
            <w:proofErr w:type="spellEnd"/>
            <w:r>
              <w:rPr>
                <w:color w:val="14191E"/>
                <w:sz w:val="16"/>
              </w:rPr>
              <w:t xml:space="preserve"> is a named Shaily customer and a Shaily executive linked their pen partnership to Brazil. Adalvo double-sources pens; </w:t>
            </w:r>
          </w:p>
        </w:tc>
      </w:tr>
    </w:tbl>
    <w:p w:rsidR="00655A8C" w:rsidRDefault="00000000">
      <w:pPr>
        <w:pStyle w:val="Heading1"/>
      </w:pPr>
      <w:proofErr w:type="gramStart"/>
      <w:r>
        <w:t>B  Canada</w:t>
      </w:r>
      <w:proofErr w:type="gramEnd"/>
      <w:r>
        <w:t xml:space="preserve"> has a dose selection defect in one starter pen lot</w:t>
      </w:r>
    </w:p>
    <w:p w:rsidR="00655A8C" w:rsidRDefault="00000000">
      <w:r>
        <w:rPr>
          <w:b/>
        </w:rPr>
        <w:t xml:space="preserve">The product link is direct. </w:t>
      </w:r>
      <w:r>
        <w:t>Apotex’s Apo-Semaglutide was developed with Orbicular; Shaily says the approved Canadian product uses its spring-driven Neo pen and that it designs and supplies the components. The 2 mg pen is meant to deliver 0.25 mg or 0.5 mg per injection; the separate 4 mg pen delivers 1 mg.</w:t>
      </w:r>
    </w:p>
    <w:p w:rsidR="00655A8C" w:rsidRDefault="00000000">
      <w:r>
        <w:rPr>
          <w:b/>
        </w:rPr>
        <w:t>The formal complaint is a potential overdose</w:t>
      </w:r>
      <w:r w:rsidR="00DA6B7B">
        <w:rPr>
          <w:b/>
        </w:rPr>
        <w:t xml:space="preserve">: </w:t>
      </w:r>
      <w:r>
        <w:t xml:space="preserve">On 27 August Health Canada recalled Apotex 2 mg/pen lot 7000599A, DIN 02568020, at retailer level. The pen may show 2 mg in its dose window and deliver 2 mg instead of the intended 0.25 mg or 0.5 mg: eight times or four times the intended starter dose, respectively. The approved instructions say that this variant should dial to a maximum of 0.5 mg. The regulator names no root cause, patient injury, units affected, or other implicated lot. </w:t>
      </w:r>
    </w:p>
    <w:p w:rsidR="00655A8C" w:rsidRDefault="00000000">
      <w:r>
        <w:rPr>
          <w:b/>
        </w:rPr>
        <w:t xml:space="preserve">The earlier management comments cannot explain this recall. </w:t>
      </w:r>
      <w:r>
        <w:t xml:space="preserve">On 20 May Shaily mentioned two complaints when asked about India and Canada together: one user error and one printing issue in dose numerals, with no performance complaint then. It did not assign the complaints to Canada. On 10 August it reported few device-performance issues and stable batch-release test data. </w:t>
      </w:r>
    </w:p>
    <w:p w:rsidR="00655A8C" w:rsidRDefault="00000000">
      <w:pPr>
        <w:pStyle w:val="Heading1"/>
      </w:pPr>
      <w:r>
        <w:t>What Canadian users actually report</w:t>
      </w:r>
    </w:p>
    <w:p w:rsidR="00655A8C" w:rsidRDefault="00000000">
      <w:r>
        <w:rPr>
          <w:b/>
        </w:rPr>
        <w:t xml:space="preserve">The field discussion centres on injection feel and dose setting. </w:t>
      </w:r>
      <w:r>
        <w:t xml:space="preserve">One Canadian Ozempic-to-Apotex switcher described roughly five seconds to reach zero on Neo versus a faster perceived injection with Ozempic, plus a large drop on the skin after removal; another reported more injection pain, while a separate switcher said the pen worked normally. These are individual accounts without lot numbers or observed dose measurement. Neo’s own specification gives about four seconds at maximum dose, and Apotex instructs users to keep the button pressed with the needle in the skin for a further slow count of six. The reported skin drop therefore does not establish pump failure or </w:t>
      </w:r>
      <w:proofErr w:type="spellStart"/>
      <w:r>
        <w:t>underdelivery</w:t>
      </w:r>
      <w:proofErr w:type="spellEnd"/>
    </w:p>
    <w:p w:rsidR="00655A8C" w:rsidRDefault="00000000">
      <w:r>
        <w:rPr>
          <w:b/>
        </w:rPr>
        <w:t xml:space="preserve">Switching devices introduces a second, separate risk. </w:t>
      </w:r>
      <w:r>
        <w:t>Users ask whether Ozempic click counts can be carried over to Apotex; a Canadian diabetes clinic estimates about 70 clicks to 1 mg for the Apotex 4 mg pen versus 72 for Ozempic and 24 for Dr Reddy’s. Apotex’s approved instructions prohibit dosing by click count. Forum posts signal training friction but cannot establish a complaint rate, explain the recalled starter-pen lot or prove superior usability. The recall root cause, affected-unit count, corrective action and component commonality across Neo customers remain the key unknowns.</w:t>
      </w:r>
    </w:p>
    <w:p w:rsidR="00655A8C" w:rsidRDefault="00000000">
      <w:pPr>
        <w:pStyle w:val="Heading1"/>
      </w:pPr>
      <w:proofErr w:type="gramStart"/>
      <w:r>
        <w:t>C  The</w:t>
      </w:r>
      <w:proofErr w:type="gramEnd"/>
      <w:r>
        <w:t xml:space="preserve"> innovator window says nothing about the platform</w:t>
      </w:r>
    </w:p>
    <w:p w:rsidR="00655A8C" w:rsidRDefault="00000000">
      <w:r>
        <w:rPr>
          <w:b/>
        </w:rPr>
        <w:t xml:space="preserve">Shaily targets a partnership announcement in four to six quarters from August 2026. </w:t>
      </w:r>
      <w:r>
        <w:t xml:space="preserve">The same call covered commercial GLP-1 pens, emergency-use injectors, a proposed reusable auto-injector and Mira, but management did not assign the innovator discussion to any device. The existing commercial pen platform requires less technical maturation than Mira; that is an assessment of development stage, not evidence that the unidentified partner has selected a pen. A signed development project, drug-specific validation and commercial supply are three different milestones. </w:t>
      </w:r>
    </w:p>
    <w:p w:rsidR="00655A8C" w:rsidRDefault="00000000">
      <w:pPr>
        <w:pStyle w:val="Heading1"/>
      </w:pPr>
      <w:proofErr w:type="gramStart"/>
      <w:r>
        <w:t>D  Mira</w:t>
      </w:r>
      <w:proofErr w:type="gramEnd"/>
      <w:r>
        <w:t xml:space="preserve"> addresses the Sarclisa volume but lacks the clinical package</w:t>
      </w:r>
    </w:p>
    <w:p w:rsidR="00655A8C" w:rsidRDefault="00000000">
      <w:r>
        <w:rPr>
          <w:b/>
        </w:rPr>
        <w:t xml:space="preserve">Sarclisa sets a useful comparator at 10 mL. </w:t>
      </w:r>
      <w:r>
        <w:t xml:space="preserve">Sanofi’s approved Sarclisa Escena delivers 1,400 mg/10 mL via Enable Injections’ CirCLIQ. The provider transfers medicine from a vial into a single-use wearable, applies it to the abdomen and </w:t>
      </w:r>
      <w:r>
        <w:lastRenderedPageBreak/>
        <w:t>starts delivery. The FDA label reports a 13-minute median on-body injection in the pivotal trial. Enable, rather than Shaily, is the named device partner. [19, 20]</w:t>
      </w:r>
    </w:p>
    <w:p w:rsidR="00655A8C" w:rsidRDefault="00000000">
      <w:r>
        <w:rPr>
          <w:b/>
        </w:rPr>
        <w:t xml:space="preserve">Mira’s volume claim meets that size on paper. </w:t>
      </w:r>
      <w:r>
        <w:t xml:space="preserve">Shaily advertises an electronic wearable with configurable delivery up to 20 mL over one minute to two hours. On the August call, management called 3–15 mL feasible, 23 mL uncertain, and Mira an earlier prototype awaiting a development partner. It has not disclosed a named medicine, a clinical study or a drug-specific approval for Mira. </w:t>
      </w:r>
    </w:p>
    <w:p w:rsidR="00655A8C" w:rsidRDefault="00000000">
      <w:r>
        <w:rPr>
          <w:b/>
        </w:rPr>
        <w:t xml:space="preserve">A usable 10 mL platform still needs a complete drug programme. </w:t>
      </w:r>
      <w:r>
        <w:t xml:space="preserve">For a Sarclisa-like product, the developer must define how a sterile drug vial or cartridge enters the device, validate delivered volume across viscosity and wear conditions, prove needle and adhesive reliability, and show that the drug reaches comparable exposure in the intended patients. CirCLIQ has already passed those steps for Sarclisa. Mira has a relevant engineering range but no disclosed evidence to claim comparable ease of use, approval timing or Sarclisa revenue. </w:t>
      </w:r>
    </w:p>
    <w:p w:rsidR="00655A8C" w:rsidRDefault="00655A8C">
      <w:pPr>
        <w:pStyle w:val="Source"/>
      </w:pPr>
    </w:p>
    <w:sectPr w:rsidR="00655A8C" w:rsidSect="00034616">
      <w:footerReference w:type="default" r:id="rId8"/>
      <w:pgSz w:w="12240" w:h="15840"/>
      <w:pgMar w:top="1008" w:right="1123" w:bottom="922"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A63BF" w:rsidRDefault="009A63BF">
      <w:pPr>
        <w:spacing w:after="0" w:line="240" w:lineRule="auto"/>
      </w:pPr>
      <w:r>
        <w:separator/>
      </w:r>
    </w:p>
  </w:endnote>
  <w:endnote w:type="continuationSeparator" w:id="0">
    <w:p w:rsidR="009A63BF" w:rsidRDefault="009A63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55A8C" w:rsidRDefault="00000000">
    <w:pPr>
      <w:pStyle w:val="Footer"/>
      <w:jc w:val="right"/>
    </w:pPr>
    <w:r>
      <w:rPr>
        <w:color w:val="5F696E"/>
        <w:sz w:val="14"/>
      </w:rPr>
      <w:t>Shaily Engineering   24 September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A63BF" w:rsidRDefault="009A63BF">
      <w:pPr>
        <w:spacing w:after="0" w:line="240" w:lineRule="auto"/>
      </w:pPr>
      <w:r>
        <w:separator/>
      </w:r>
    </w:p>
  </w:footnote>
  <w:footnote w:type="continuationSeparator" w:id="0">
    <w:p w:rsidR="009A63BF" w:rsidRDefault="009A63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4967372">
    <w:abstractNumId w:val="8"/>
  </w:num>
  <w:num w:numId="2" w16cid:durableId="326059874">
    <w:abstractNumId w:val="6"/>
  </w:num>
  <w:num w:numId="3" w16cid:durableId="2125347284">
    <w:abstractNumId w:val="5"/>
  </w:num>
  <w:num w:numId="4" w16cid:durableId="1935089779">
    <w:abstractNumId w:val="4"/>
  </w:num>
  <w:num w:numId="5" w16cid:durableId="1647781874">
    <w:abstractNumId w:val="7"/>
  </w:num>
  <w:num w:numId="6" w16cid:durableId="44260263">
    <w:abstractNumId w:val="3"/>
  </w:num>
  <w:num w:numId="7" w16cid:durableId="2140485911">
    <w:abstractNumId w:val="2"/>
  </w:num>
  <w:num w:numId="8" w16cid:durableId="1453940361">
    <w:abstractNumId w:val="1"/>
  </w:num>
  <w:num w:numId="9" w16cid:durableId="19503837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55A8C"/>
    <w:rsid w:val="009A63BF"/>
    <w:rsid w:val="00AA1D8D"/>
    <w:rsid w:val="00B47730"/>
    <w:rsid w:val="00CB0664"/>
    <w:rsid w:val="00DA6B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4353EB"/>
  <w14:defaultImageDpi w14:val="300"/>
  <w15:docId w15:val="{18CEC3F0-5AA3-CF44-9B86-D8B2CB606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74" w:lineRule="auto"/>
    </w:pPr>
    <w:rPr>
      <w:rFonts w:ascii="Arial" w:hAnsi="Arial"/>
      <w:color w:val="171D23"/>
      <w:sz w:val="18"/>
    </w:rPr>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b/>
      <w:bCs/>
      <w:color w:val="000000"/>
      <w:sz w:val="21"/>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b/>
      <w:bCs/>
      <w:color w:val="000000"/>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rFonts w:asciiTheme="majorHAnsi" w:eastAsiaTheme="majorEastAsia" w:hAnsiTheme="majorHAnsi" w:cstheme="majorBidi"/>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
    <w:name w:val="Source"/>
    <w:pPr>
      <w:spacing w:after="60" w:line="252" w:lineRule="auto"/>
    </w:pPr>
    <w:rPr>
      <w:rFonts w:ascii="Arial" w:hAnsi="Arial"/>
      <w:sz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868</Words>
  <Characters>4950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Shirsh Sawarna</cp:lastModifiedBy>
  <cp:revision>2</cp:revision>
  <dcterms:created xsi:type="dcterms:W3CDTF">2013-12-23T23:15:00Z</dcterms:created>
  <dcterms:modified xsi:type="dcterms:W3CDTF">2026-09-24T10:16:00Z</dcterms:modified>
  <cp:category/>
</cp:coreProperties>
</file>