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14515127f175755c05f86ee14c277a888556bb"/>
    <w:p>
      <w:pPr>
        <w:pStyle w:val="Heading1"/>
      </w:pPr>
      <w:r>
        <w:t xml:space="preserve">India Healthcare: World Population Day 2026</w:t>
      </w:r>
    </w:p>
    <w:bookmarkStart w:id="27" w:name="X62a8ea3ddbe9108b18c4a5e612336420627a9d2"/>
    <w:p>
      <w:pPr>
        <w:pStyle w:val="Heading2"/>
      </w:pPr>
      <w:r>
        <w:t xml:space="preserve">Fertility is falling. The treatment market is rising.</w:t>
      </w:r>
    </w:p>
    <w:p>
      <w:pPr>
        <w:pStyle w:val="FirstParagraph"/>
      </w:pPr>
      <w:r>
        <w:t xml:space="preserve">World Population Day usually gets read through a population-control lens. That framing is now incomplete. The world is still adding people, but fertility is falling fast enough to change the long-term question. The UN estimates global fertility at 2.25 live births per woman, roughly one child lower than a generation ago, and expects it to decline toward 2.1 by the late 2040s. The same UN population work projects the world population to peak at around 10.3bn in the mid-2080s. The sharper signal comes from the country mix. The Lancet/IHME fertility work estimates that 76% of countries will be below replacement by 2050 and 97% by 2100.</w:t>
      </w:r>
    </w:p>
    <w:p>
      <w:pPr>
        <w:pStyle w:val="BodyText"/>
      </w:pPr>
      <w:r>
        <w:t xml:space="preserve">India has moved in the same direction. NFHS-5 put India’s total fertility rate at 2.0 children per woman in 2019-21, below the replacement level of 2.1. NFHS-6 early results released in 2026 still show India at 2.0, while the latest SRS 2024 data cited in public reporting puts India lower at 1.9, with a large rural-urban gap of 2.1 versus 1.5. The direction matters more than the exact decimal. India is no longer a high-fertility market at the national level. It is becoming a low-fertility, high-dispersion market, with parts of north India still above replacement and large urban markets already closer to East Asian fertility patterns.</w:t>
      </w:r>
    </w:p>
    <w:bookmarkStart w:id="20" w:name="X9377993ec66aa7752a17a97ddfb69932c9d66f2"/>
    <w:p>
      <w:pPr>
        <w:pStyle w:val="Heading3"/>
      </w:pPr>
      <w:r>
        <w:t xml:space="preserve">1. Fertility decline has three layers: choice, delay and biology</w:t>
      </w:r>
    </w:p>
    <w:p>
      <w:pPr>
        <w:pStyle w:val="FirstParagraph"/>
      </w:pPr>
      <w:r>
        <w:t xml:space="preserve">Low birth rates include choice, economics and biology. Infertility is only the biology-led and treatment-linked part, but it is becoming more visible as couples delay marriage, delay first birth and enter the fertility window later.</w:t>
      </w:r>
    </w:p>
    <w:p>
      <w:pPr>
        <w:pStyle w:val="BodyText"/>
      </w:pPr>
      <w:r>
        <w:t xml:space="preserve">The first layer is social delay. In India, the median age at first marriage for women aged 20-49 rose from 17.2 years in 2005-06 to 19.2 years in 2019-21, while the median for men aged 25-29 rose from 22.6 to 24.9 years. Europe is further ahead in the same cycle. The average age of women at first childbirth in the EU was 29.9 years in 2024, with Italy at 31.9 and Luxembourg at 31.6. OECD data show the average age of mothers at childbirth rising from 27.0 in 1980 to 30.9 in 2022. This is the core demographic change. The biological fertility curve has not shifted at the same pace as education, income, urban work and marriage timing.</w:t>
      </w:r>
    </w:p>
    <w:p>
      <w:pPr>
        <w:pStyle w:val="BodyText"/>
      </w:pPr>
      <w:r>
        <w:t xml:space="preserve">The second layer is lifestyle. Urban couples are marrying later, having fewer children and often making a conscious decision to stay child-free for longer. DINK, or double income no kids, is now a visible urban phrase in India, even though it is not measured cleanly in official fertility datasets. That distinction matters. DINK is useful as a cultural marker, not as a hard forecasting variable. The investable point is still clear: the first pregnancy is being pushed later, and later first pregnancy increases the use of ovulation induction, fertility testing, IUI, IVF, ICSI and fertility preservation.</w:t>
      </w:r>
    </w:p>
    <w:p>
      <w:pPr>
        <w:pStyle w:val="BodyText"/>
      </w:pPr>
      <w:r>
        <w:t xml:space="preserve">The third layer is biology and environment. Infertility is now a couple-level diagnosis. WHO estimates that roughly one in six people of reproductive age experience infertility during their lifetime. Male factors matter as much as female factors in the diagnostic pathway. WHO lists male causes such as semen ejection issues, low or absent sperm count and abnormal sperm morphology or motility. The older narrative of infertility being mostly a female problem is clinically weak and commercially misleading. Every serious fertility model now needs both sides of the couple: ovarian reserve, ovulation, tubal status and endometrial health on one side; sperm count, motility, morphology and ejaculation function on the other.</w:t>
      </w:r>
    </w:p>
    <w:p>
      <w:pPr>
        <w:pStyle w:val="BodyText"/>
      </w:pPr>
      <w:r>
        <w:t xml:space="preserve">Environmental pressure is harder to quantify, but the direction of evidence is no longer trivial. Recent reviews link air pollution with modest negative associations across semen quality parameters, and link endocrine-disrupting chemicals such as BPA, phthalates, PFAS and PCBs with weaker sperm quality and hormonal changes. The much-cited Levine sperm-count analysis found a 62.3% decline in sperm concentration among unselected men from 1973 to 2018, with a faster annual decline after 2000. This dataset has debate around method and comparability, and a 2025 study in fertile US men did not find the same decline. The balanced reading is simple: environmental exposure is unlikely to explain all fertility decline, but it adds a real biological tailwind for fertility testing and treatment.</w:t>
      </w:r>
    </w:p>
    <w:p>
      <w:pPr>
        <w:pStyle w:val="BodyText"/>
      </w:pPr>
      <w:r>
        <w:t xml:space="preserve">Female infertility has several large disease pools. PCOS affects an estimated 10-13% of women of reproductive age and up to 70% of affected women remain undiagnosed. WHO also calls PCOS the most common cause of anovulation and a leading cause of infertility. Endometriosis affects about 10% of reproductive-age women, or around 190mn women and girls globally, and infertility is a common associated symptom. Fibroids, tubal disease, low ovarian reserve, premature ovarian insufficiency and cancer-related fertility loss add to the pool. Menopause itself should be treated as a life stage rather than a disease. The investable medical issue is the transition around ovarian reserve, perimenopause symptoms, hormonal management and fertility preservation before ovarian function declines.</w:t>
      </w:r>
    </w:p>
    <w:p>
      <w:pPr>
        <w:pStyle w:val="BodyText"/>
      </w:pPr>
      <w:r>
        <w:t xml:space="preserve">Male infertility needs more explicit space in the note. Premature ejaculation and erectile dysfunction can reduce conception probability when they prevent intravaginal ejaculation or make intercourse unreliable. Still, the bigger medical pool sits in semen quality: count, motility and morphology. This matters for business models because semen analysis, male-factor counselling and ICSI pull fertility treatment away from a purely gynaecology-led pathway and into a couple-led pathway. That expands testing, treatment duration and specialist intervention.</w:t>
      </w:r>
    </w:p>
    <w:p>
      <w:pPr>
        <w:pStyle w:val="BodyText"/>
      </w:pPr>
      <w:r>
        <w:t xml:space="preserve">The closing question for this section is intentionally uncomfortable. By century-end, the stress point for many societies may be less about feeding more humans and more about whether low-fertility economies have enough births, caregivers and workers, while robots and automation fill gaps that families and labour markets no longer can.</w:t>
      </w:r>
    </w:p>
    <w:bookmarkEnd w:id="20"/>
    <w:bookmarkStart w:id="21" w:name="Xdbb0191cf93a99687bcab1c08e49e835c25bab6"/>
    <w:p>
      <w:pPr>
        <w:pStyle w:val="Heading3"/>
      </w:pPr>
      <w:r>
        <w:t xml:space="preserve">2. Infertility treatment is a pathway, not a single procedure</w:t>
      </w:r>
    </w:p>
    <w:p>
      <w:pPr>
        <w:pStyle w:val="FirstParagraph"/>
      </w:pPr>
      <w:r>
        <w:t xml:space="preserve">The clinical pathway starts before IVF. Couples first enter through gynaecologists, urologists, endocrinologists, diagnostics chains or fertility clinics. Work-up usually includes ovulation history, AMH or ovarian reserve markers, ultrasound, tubal assessment, semen analysis and infection or hormonal testing. The treatment ladder then moves through timed intercourse, ovulation induction, luteal support, IUI, IVF, ICSI, embryo freezing, donor gametes and surrogacy where legally permitted.</w:t>
      </w:r>
    </w:p>
    <w:p>
      <w:pPr>
        <w:pStyle w:val="BodyText"/>
      </w:pPr>
      <w:r>
        <w:t xml:space="preserve">This ladder is critical for market sizing. IVF is the most visible intervention, but the prescription pool begins earlier. Ovulation induction requires oral agents and monitoring. Assisted reproduction cycles require gonadotropins, hCG triggers, GnRH agonists or antagonists, progesterone support and other luteal-phase products. High-risk pregnancy and reproductive immunology add smaller specialist pools. The treatment is also repeat-driven. Failed cycles, embryo transfers, repeat stimulation and pregnancy support all increase medicine intensity.</w:t>
      </w:r>
    </w:p>
    <w:p>
      <w:pPr>
        <w:pStyle w:val="BodyText"/>
      </w:pPr>
      <w:r>
        <w:t xml:space="preserve">India is still underpenetrated. Market estimates vary because IVF is largely private-pay and clinic-level reporting remains fragmented. Grand View Research estimated the India IVF market at about US$1.06bn in 2023 with a 7.8% CAGR for 2024-30, while IMARC estimates the market at about US$998mn in 2025 and projects a 14.8% CAGR to 2034. The exact CAGR is less important than the direction. Treatment demand is rising, formal clinics are scaling, and regulatory oversight is increasing.</w:t>
      </w:r>
    </w:p>
    <w:p>
      <w:pPr>
        <w:pStyle w:val="BodyText"/>
      </w:pPr>
      <w:r>
        <w:t xml:space="preserve">The ART Act has changed the structure of the market. India’s ART regulation framework was created to supervise ART clinics and banks, prevent misuse and support safe and ethical practice. The National ART registry now lists thousands of registered ART clinics and banks, showing how broad the provider base has become. Regulation should help formal platforms over time, especially those with documentation, lab quality, patient consent processes and doctor training. The weaker fringe should find it harder to scale.</w:t>
      </w:r>
    </w:p>
    <w:p>
      <w:pPr>
        <w:pStyle w:val="BodyText"/>
      </w:pPr>
      <w:r>
        <w:t xml:space="preserve">Indira IVF is the best example of clinic industrialisation in India. ICRA’s 2025 note cites 42,622 cycles in FY2025 and describes Indira IVF as an established pan-India brand with stronger presence in north and west India. ICRA’s earlier work also pointed to the model’s quick breakeven, high throughput and steady doctor inflow from its training institute. This is the clinic-side playbook: brand, doctor funnel, regional depth, standardised labs, cycle throughput and patient financing. For pharma, the better read-through is different. Every IVF platform becomes a pull-through channel for fertility drugs.</w:t>
      </w:r>
    </w:p>
    <w:bookmarkEnd w:id="21"/>
    <w:bookmarkStart w:id="22" w:name="X21430326d111d2dd5b9dcd54add43da16176d1e"/>
    <w:p>
      <w:pPr>
        <w:pStyle w:val="Heading3"/>
      </w:pPr>
      <w:r>
        <w:t xml:space="preserve">3. The investment pool sits in prescription women’s health, not broad wellness</w:t>
      </w:r>
    </w:p>
    <w:p>
      <w:pPr>
        <w:pStyle w:val="FirstParagraph"/>
      </w:pPr>
      <w:r>
        <w:t xml:space="preserve">The cleaner healthcare opportunity is prescription-led women’s health and infertility. Consumer sexual wellness can create brands, but medicines linked to infertility and women’s health have stronger clinical need, higher specialist influence and a clearer repeat-use pathway.</w:t>
      </w:r>
    </w:p>
    <w:p>
      <w:pPr>
        <w:pStyle w:val="BodyText"/>
      </w:pPr>
      <w:r>
        <w:t xml:space="preserve">BSV is the strongest India asset in this frame. Mankind completed the acquisition of 100% of BSV for INR 13,768 crore in October 2024, and the deal positioned Mankind as a market leader in Indian women’s health and fertility drugs. Reuters reported BSV FY24 revenue of INR 17.23bn, up 20% year-on-year. BSV’s portfolio covers infertility, Rh incompatibility, endometriosis, PCOS, postpartum haemorrhage and luteal deficiency. The R&amp;D history also matters. BSV highlights gonadotropin biosimilars such as FSH, LH and hCG and a biologic monoclonal antibody used to prevent Rh isoimmunisation in pregnant women. This is real prescription depth rather than a shallow consumer brand extension.</w:t>
      </w:r>
    </w:p>
    <w:p>
      <w:pPr>
        <w:pStyle w:val="BodyText"/>
      </w:pPr>
      <w:r>
        <w:t xml:space="preserve">Organon is the global asset to watch after Sun Pharma’s announced acquisition. Organon reported Women’s Health revenue of US$1.8bn in 2025, about 28% of total revenue, with products across contraception and fertility including Nexplanon, NuvaRing, Follistim AQ and Elonva. Organon’s 2025 Women’s Health revenue declined 1% as fertility and JADA growth offset weakness in NuvaRing and Nexplanon. Nexplanon received US FDA approval in January 2026 for a five-year duration, extending the prior three-year duration. Follistim remains a core fertility product used for ovulation induction in anovulatory infertile women. Sun’s Organon acquisition, announced at an enterprise value of US$11.75bn including debt, adds more than 70 drugs across around 140 countries and strengthens Sun’s women’s health and biosimilars exposure.</w:t>
      </w:r>
    </w:p>
    <w:p>
      <w:pPr>
        <w:pStyle w:val="BodyText"/>
      </w:pPr>
      <w:r>
        <w:t xml:space="preserve">Abbott has a different profile. It is less of a fertility pure-play and more of a lifecycle women’s health company. Abbott India’s own therapy-area page positions women’s health across multiple products, and Abbott has historically highlighted dydrogesterone use in IVF-related endometrial preparation in certain markets. Duphaston, dydrogesterone, remains the central brand to track. For India, Abbott’s strength is gynaecologist access, trusted legacy brands and broad therapy presence. The limitation is disclosure. Abbott does not provide a clean, standalone India women’s health revenue line that can be directly modelled from public filings.</w:t>
      </w:r>
    </w:p>
    <w:p>
      <w:pPr>
        <w:pStyle w:val="BodyText"/>
      </w:pPr>
      <w:r>
        <w:t xml:space="preserve">AbbVie has scientific credibility in endometriosis and uterine fibroids, but women’s health is no longer the centre of its equity story. Orilissa, elagolix, was approved by the US FDA in 2018 as the first oral treatment for moderate-to-severe endometriosis pain in more than a decade. Public reporting notes that AbbVie stopped disclosing Orilissa sales individually after 2021, when US net revenue was US$139mn, and that women’s health has become a smaller, less visible part of AbbVie’s portfolio. This makes AbbVie relevant for innovation benchmarking, not as the cleanest listed women’s health earnings play.</w:t>
      </w:r>
    </w:p>
    <w:p>
      <w:pPr>
        <w:pStyle w:val="BodyText"/>
      </w:pPr>
      <w:r>
        <w:t xml:space="preserve">Takeda is even more limited for this theme. Its stated core focus areas are GI and inflammation, rare diseases, plasma-derived therapies, oncology, neuroscience and vaccines. Takeda has economic exposure through relugolix-related agreements in Japan with ASKA for uterine fibroids and endometriosis, but women’s health is not a primary global focus area.</w:t>
      </w:r>
    </w:p>
    <w:p>
      <w:pPr>
        <w:pStyle w:val="BodyText"/>
      </w:pPr>
      <w:r>
        <w:t xml:space="preserve">The India coverage read-through is therefore straightforward. Mankind now owns the best domestic prescription asset through BSV. Sun is buying the best global women’s health platform accessible to Indian pharma through Organon. Abbott remains a strong gynaecology-access company. Lupin has corrected portfolio drift by exiting the US women’s health specialty business around Solosec and aligning US specialty toward respiratory and neurology, while also carving out consumer healthcare separately. Biocon and Aurobindo have limited strategic exposure to this theme. Biocon’s visible biologics portfolio is concentrated in insulin, oncology and immunology biosimilars, while Aurobindo is a broad generics and API platform with some oral contraceptive products but no comparable fertility or women’s health platform.</w:t>
      </w:r>
    </w:p>
    <w:bookmarkEnd w:id="22"/>
    <w:bookmarkStart w:id="23" w:name="X2576a1ac6880265731b84926e2b2ff16e867c43"/>
    <w:p>
      <w:pPr>
        <w:pStyle w:val="Heading3"/>
      </w:pPr>
      <w:r>
        <w:t xml:space="preserve">4. Why medicines should beat D2C sexual wellness</w:t>
      </w:r>
    </w:p>
    <w:p>
      <w:pPr>
        <w:pStyle w:val="FirstParagraph"/>
      </w:pPr>
      <w:r>
        <w:t xml:space="preserve">The thesis is simple. Fertility and women’s health medicines have better structural quality than D2C sexual wellness products.</w:t>
      </w:r>
    </w:p>
    <w:p>
      <w:pPr>
        <w:pStyle w:val="BodyText"/>
      </w:pPr>
      <w:r>
        <w:t xml:space="preserve">The reasons are practical. First, fertility care is doctor-led. The patient may discover the clinic online, but the drug choice is usually controlled by the fertility specialist or gynaecologist. Second, treatment is protocol-driven. Stimulation, trigger, luteal support and pregnancy support require medicines with clinical familiarity and repeat prescription behaviour. Third, the emotional intensity of infertility creates willingness to pay for credible outcomes. Fourth, clinic scale helps organised pharma, because larger platforms prefer reliable supply, standard quality and medical support. Fifth, the category has regulation, which should reward companies with compliance depth.</w:t>
      </w:r>
    </w:p>
    <w:p>
      <w:pPr>
        <w:pStyle w:val="BodyText"/>
      </w:pPr>
      <w:r>
        <w:t xml:space="preserve">D2C sexual wellness has a weaker moat. Customer acquisition cost is high. Brand recall is expensive to maintain. Product differentiation is often thin. Repeat use depends on brand habit rather than clinical protocol. The category also faces social stigma, pricing pressure and rapid imitation. Mankind’s consumer engine is powerful, with brands such as Manforce and Prega News, and the company has expanded OTC diagnostics through products such as Rapid News for UTI, male infertility, dengue and menopause. That strength should not be confused with the higher-quality prescription opportunity created by BSV.</w:t>
      </w:r>
    </w:p>
    <w:p>
      <w:pPr>
        <w:pStyle w:val="BodyText"/>
      </w:pPr>
      <w:r>
        <w:t xml:space="preserve">For Mankind, the BSV acquisition is the right asset in the right category. The risk is narrative mix. If the bull case is framed around BSV, fertility drugs, ART pull-through and specialist-led women’s health, the argument is strong. If the bull case leans too heavily on consumer sexual wellness and broad OTC branding, the argument becomes weaker. In our stock framework, Mankind’s rating needs to rest on BSV execution, integration discipline and prescription depth, not on extrapolating Prega News or Manforce into every adjacent women’s health profit pool.</w:t>
      </w:r>
    </w:p>
    <w:p>
      <w:pPr>
        <w:pStyle w:val="BodyText"/>
      </w:pPr>
      <w:r>
        <w:t xml:space="preserve">Sun’s Organon acquisition is the cleaner global asset play. Organon brings global brands, women’s health know-how, contraception, fertility and established international access. The near-term watch point is execution. Organon’s Women’s Health revenue was weak in Q1 2026, partly due to Nexplanon timing after the five-year label change, so Sun needs to stabilise the base while extracting cost and portfolio synergies. If management executes, this gives Sun a differentiated women’s health platform that very few Indian pharma companies can replicate.</w:t>
      </w:r>
    </w:p>
    <w:p>
      <w:pPr>
        <w:pStyle w:val="BodyText"/>
      </w:pPr>
      <w:r>
        <w:t xml:space="preserve">Lupin is a useful case study in what to avoid and what to fix. The publicly verifiable evidence shows Lupin divested its US commercial women’s health specialty business, including Solosec, to Evofem in 2024 for potential consideration up to US$84mn, and stated that the move aligned its US specialty business with respiratory and neurology. That supports the view that Lupin corrected an earlier portfolio distraction. The specific 2021-22 India D2C women’s health failure point should be tied to internal initiation-report work or channel checks before publication, because I could not verify that claim cleanly from public sources.</w:t>
      </w:r>
    </w:p>
    <w:bookmarkEnd w:id="23"/>
    <w:bookmarkStart w:id="24" w:name="company-map-for-the-note"/>
    <w:p>
      <w:pPr>
        <w:pStyle w:val="Heading3"/>
      </w:pPr>
      <w:r>
        <w:t xml:space="preserve">5. Company map for the note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Women’s health exposure</w:t>
            </w:r>
          </w:p>
        </w:tc>
        <w:tc>
          <w:tcPr/>
          <w:p>
            <w:pPr>
              <w:pStyle w:val="Compact"/>
            </w:pPr>
            <w:r>
              <w:t xml:space="preserve">What matters for investors</w:t>
            </w:r>
          </w:p>
        </w:tc>
      </w:tr>
      <w:tr>
        <w:tc>
          <w:tcPr/>
          <w:p>
            <w:pPr>
              <w:pStyle w:val="Compact"/>
            </w:pPr>
            <w:r>
              <w:t xml:space="preserve">Sun Pharma plus Organon</w:t>
            </w:r>
          </w:p>
        </w:tc>
        <w:tc>
          <w:tcPr/>
          <w:p>
            <w:pPr>
              <w:pStyle w:val="Compact"/>
            </w:pPr>
            <w:r>
              <w:t xml:space="preserve">Global women’s health, contraception, fertility, biosimilars and established brands. Organon Women’s Health revenue was US$1.8bn in 2025, 28% of total revenue.</w:t>
            </w:r>
          </w:p>
        </w:tc>
        <w:tc>
          <w:tcPr/>
          <w:p>
            <w:pPr>
              <w:pStyle w:val="Compact"/>
            </w:pPr>
            <w:r>
              <w:t xml:space="preserve">Best global asset read-through among India pharma. Watch integration, debt, Nexplanon timing, fertility growth and cost synergies.</w:t>
            </w:r>
          </w:p>
        </w:tc>
      </w:tr>
      <w:tr>
        <w:tc>
          <w:tcPr/>
          <w:p>
            <w:pPr>
              <w:pStyle w:val="Compact"/>
            </w:pPr>
            <w:r>
              <w:t xml:space="preserve">Mankind plus BSV</w:t>
            </w:r>
          </w:p>
        </w:tc>
        <w:tc>
          <w:tcPr/>
          <w:p>
            <w:pPr>
              <w:pStyle w:val="Compact"/>
            </w:pPr>
            <w:r>
              <w:t xml:space="preserve">India prescription fertility and women’s health leader. BSV FY24 revenue was INR 17.23bn, up 20%.</w:t>
            </w:r>
          </w:p>
        </w:tc>
        <w:tc>
          <w:tcPr/>
          <w:p>
            <w:pPr>
              <w:pStyle w:val="Compact"/>
            </w:pPr>
            <w:r>
              <w:t xml:space="preserve">Strongest India fertility-drug asset. Bull case should be BSV, ART pull-through and specialist access. Consumer wellness should be secondary.</w:t>
            </w:r>
          </w:p>
        </w:tc>
      </w:tr>
      <w:tr>
        <w:tc>
          <w:tcPr/>
          <w:p>
            <w:pPr>
              <w:pStyle w:val="Compact"/>
            </w:pPr>
            <w:r>
              <w:t xml:space="preserve">Abbott</w:t>
            </w:r>
          </w:p>
        </w:tc>
        <w:tc>
          <w:tcPr/>
          <w:p>
            <w:pPr>
              <w:pStyle w:val="Compact"/>
            </w:pPr>
            <w:r>
              <w:t xml:space="preserve">Lifecycle gynaecology brands, with Duphaston/dydrogesterone and menopause-related products.</w:t>
            </w:r>
          </w:p>
        </w:tc>
        <w:tc>
          <w:tcPr/>
          <w:p>
            <w:pPr>
              <w:pStyle w:val="Compact"/>
            </w:pPr>
            <w:r>
              <w:t xml:space="preserve">Strong doctor access and legacy trust. Lower disclosure limits modelling precision.</w:t>
            </w:r>
          </w:p>
        </w:tc>
      </w:tr>
      <w:tr>
        <w:tc>
          <w:tcPr/>
          <w:p>
            <w:pPr>
              <w:pStyle w:val="Compact"/>
            </w:pPr>
            <w:r>
              <w:t xml:space="preserve">AbbVie</w:t>
            </w:r>
          </w:p>
        </w:tc>
        <w:tc>
          <w:tcPr/>
          <w:p>
            <w:pPr>
              <w:pStyle w:val="Compact"/>
            </w:pPr>
            <w:r>
              <w:t xml:space="preserve">Endometriosis and fibroid science through elagolix assets such as Orilissa.</w:t>
            </w:r>
          </w:p>
        </w:tc>
        <w:tc>
          <w:tcPr/>
          <w:p>
            <w:pPr>
              <w:pStyle w:val="Compact"/>
            </w:pPr>
            <w:r>
              <w:t xml:space="preserve">Relevant for innovation benchmarking. Less relevant as a clean women’s health earnings play today.</w:t>
            </w:r>
          </w:p>
        </w:tc>
      </w:tr>
      <w:tr>
        <w:tc>
          <w:tcPr/>
          <w:p>
            <w:pPr>
              <w:pStyle w:val="Compact"/>
            </w:pPr>
            <w:r>
              <w:t xml:space="preserve">Takeda</w:t>
            </w:r>
          </w:p>
        </w:tc>
        <w:tc>
          <w:tcPr/>
          <w:p>
            <w:pPr>
              <w:pStyle w:val="Compact"/>
            </w:pPr>
            <w:r>
              <w:t xml:space="preserve">Relugolix economics in Japan through ASKA agreements.</w:t>
            </w:r>
          </w:p>
        </w:tc>
        <w:tc>
          <w:tcPr/>
          <w:p>
            <w:pPr>
              <w:pStyle w:val="Compact"/>
            </w:pPr>
            <w:r>
              <w:t xml:space="preserve">Limited global women’s health focus. Mostly a side exposure.</w:t>
            </w:r>
          </w:p>
        </w:tc>
      </w:tr>
      <w:tr>
        <w:tc>
          <w:tcPr/>
          <w:p>
            <w:pPr>
              <w:pStyle w:val="Compact"/>
            </w:pPr>
            <w:r>
              <w:t xml:space="preserve">Lupin</w:t>
            </w:r>
          </w:p>
        </w:tc>
        <w:tc>
          <w:tcPr/>
          <w:p>
            <w:pPr>
              <w:pStyle w:val="Compact"/>
            </w:pPr>
            <w:r>
              <w:t xml:space="preserve">Exited US commercial women’s health specialty business around Solosec.</w:t>
            </w:r>
          </w:p>
        </w:tc>
        <w:tc>
          <w:tcPr/>
          <w:p>
            <w:pPr>
              <w:pStyle w:val="Compact"/>
            </w:pPr>
            <w:r>
              <w:t xml:space="preserve">Cleaner portfolio after divestment. Useful example of moving away from subscale specialty distractions.</w:t>
            </w:r>
          </w:p>
        </w:tc>
      </w:tr>
      <w:tr>
        <w:tc>
          <w:tcPr/>
          <w:p>
            <w:pPr>
              <w:pStyle w:val="Compact"/>
            </w:pPr>
            <w:r>
              <w:t xml:space="preserve">Biocon / Aurobindo</w:t>
            </w:r>
          </w:p>
        </w:tc>
        <w:tc>
          <w:tcPr/>
          <w:p>
            <w:pPr>
              <w:pStyle w:val="Compact"/>
            </w:pPr>
            <w:r>
              <w:t xml:space="preserve">Limited strategic exposure to women’s health and infertility.</w:t>
            </w:r>
          </w:p>
        </w:tc>
        <w:tc>
          <w:tcPr/>
          <w:p>
            <w:pPr>
              <w:pStyle w:val="Compact"/>
            </w:pPr>
            <w:r>
              <w:t xml:space="preserve">Weak direct read-through. Aurobindo has some oral contraceptive products, but no comparable women’s health platform.</w:t>
            </w:r>
          </w:p>
        </w:tc>
      </w:tr>
    </w:tbl>
    <w:bookmarkEnd w:id="24"/>
    <w:bookmarkStart w:id="25" w:name="exhibits-to-add"/>
    <w:p>
      <w:pPr>
        <w:pStyle w:val="Heading3"/>
      </w:pPr>
      <w:r>
        <w:t xml:space="preserve">6. Exhibits to add</w:t>
      </w:r>
    </w:p>
    <w:p>
      <w:pPr>
        <w:pStyle w:val="FirstParagraph"/>
      </w:pPr>
      <w:r>
        <w:rPr>
          <w:b/>
          <w:bCs/>
        </w:rPr>
        <w:t xml:space="preserve">Exhibit 1: Global fertility is falling below replacement</w:t>
      </w:r>
      <w:r>
        <w:br/>
      </w:r>
      <w:r>
        <w:t xml:space="preserve">Line chart with global TFR from 1950 to current and projection to 2050/2100. Add callouts for UN’s 2.25 current fertility estimate and Lancet/IHME’s share of countries below replacement by 2050 and 2100.</w:t>
      </w:r>
    </w:p>
    <w:p>
      <w:pPr>
        <w:pStyle w:val="BodyText"/>
      </w:pPr>
      <w:r>
        <w:rPr>
          <w:b/>
          <w:bCs/>
        </w:rPr>
        <w:t xml:space="preserve">Exhibit 2: India fertility is already below replacement nationally</w:t>
      </w:r>
      <w:r>
        <w:br/>
      </w:r>
      <w:r>
        <w:t xml:space="preserve">Chart India TFR using NFHS-1 to NFHS-6 and SRS 2024. Use two lines if needed: survey-based NFHS and registration-based SRS. This avoids overclaiming one exact number.</w:t>
      </w:r>
    </w:p>
    <w:p>
      <w:pPr>
        <w:pStyle w:val="BodyText"/>
      </w:pPr>
      <w:r>
        <w:rPr>
          <w:b/>
          <w:bCs/>
        </w:rPr>
        <w:t xml:space="preserve">Exhibit 3: India fertility has become a state-level dispersion story</w:t>
      </w:r>
      <w:r>
        <w:br/>
      </w:r>
      <w:r>
        <w:t xml:space="preserve">Heat map by state. Highlight Bihar and other higher-fertility states versus Delhi, Tamil Nadu, Kerala, West Bengal and large urban markets. The investment message: national averages hide where the fertility-treatment market will deepen first.</w:t>
      </w:r>
    </w:p>
    <w:p>
      <w:pPr>
        <w:pStyle w:val="BodyText"/>
      </w:pPr>
      <w:r>
        <w:rPr>
          <w:b/>
          <w:bCs/>
        </w:rPr>
        <w:t xml:space="preserve">Exhibit 4: Why fertility is falling</w:t>
      </w:r>
      <w:r>
        <w:br/>
      </w:r>
      <w:r>
        <w:t xml:space="preserve">Three buckets: social delay, lifestyle and environment. Social delay includes later marriage and later first birth. Lifestyle includes obesity, smoking, heavy alcohol use, poor sleep and stress. Environment includes air pollution and endocrine-disrupting chemicals. Use a male and female split at the bottom of the exhibit.</w:t>
      </w:r>
    </w:p>
    <w:p>
      <w:pPr>
        <w:pStyle w:val="BodyText"/>
      </w:pPr>
      <w:r>
        <w:rPr>
          <w:b/>
          <w:bCs/>
        </w:rPr>
        <w:t xml:space="preserve">Exhibit 5: Infertility is a couple-level diagnosis</w:t>
      </w:r>
      <w:r>
        <w:br/>
      </w:r>
      <w:r>
        <w:t xml:space="preserve">Show female factors and male factors side by side. Female: PCOS, endometriosis, tubal disease, low ovarian reserve, fibroids, premature ovarian insufficiency. Male: low sperm count, motility, morphology, semen delivery and sexual dysfunction. Add WHO’s one-in-six infertility estimate.</w:t>
      </w:r>
    </w:p>
    <w:p>
      <w:pPr>
        <w:pStyle w:val="BodyText"/>
      </w:pPr>
      <w:r>
        <w:rPr>
          <w:b/>
          <w:bCs/>
        </w:rPr>
        <w:t xml:space="preserve">Exhibit 6: Treatment ladder and drug pull-through</w:t>
      </w:r>
      <w:r>
        <w:br/>
      </w:r>
      <w:r>
        <w:t xml:space="preserve">Show the pathway from work-up to ovulation induction, IUI, IVF, ICSI and pregnancy support. Against each stage, map the drug classes: ovulation agents, gonadotropins, hCG trigger, GnRH agonist or antagonist, progesterone, luteal support and high-risk pregnancy products.</w:t>
      </w:r>
    </w:p>
    <w:p>
      <w:pPr>
        <w:pStyle w:val="BodyText"/>
      </w:pPr>
      <w:r>
        <w:rPr>
          <w:b/>
          <w:bCs/>
        </w:rPr>
        <w:t xml:space="preserve">Exhibit 7: India IVF scaling</w:t>
      </w:r>
      <w:r>
        <w:br/>
      </w:r>
      <w:r>
        <w:t xml:space="preserve">Use market-size estimates and Indira IVF cycle data. Add the ART registry count as a formalisation indicator. The chart should show that clinic scale is rising, while the drug opportunity spreads across clinics and cycles.</w:t>
      </w:r>
    </w:p>
    <w:p>
      <w:pPr>
        <w:pStyle w:val="BodyText"/>
      </w:pPr>
      <w:r>
        <w:rPr>
          <w:b/>
          <w:bCs/>
        </w:rPr>
        <w:t xml:space="preserve">Exhibit 8: Company exposure map</w:t>
      </w:r>
      <w:r>
        <w:br/>
      </w:r>
      <w:r>
        <w:t xml:space="preserve">Matrix with rows for Sun/Organon, Mankind/BSV, Abbott, AbbVie, Takeda, Lupin, Biocon and Aurobindo. Columns: women’s health revenue disclosure, core products, India relevance, pipeline or innovation, investment read-through. This should become the core stock-selection exhibit.</w:t>
      </w:r>
    </w:p>
    <w:p>
      <w:pPr>
        <w:pStyle w:val="BodyText"/>
      </w:pPr>
      <w:r>
        <w:rPr>
          <w:b/>
          <w:bCs/>
        </w:rPr>
        <w:t xml:space="preserve">Exhibit 9: Prescription women’s health versus D2C sexual wellness</w:t>
      </w:r>
      <w:r>
        <w:br/>
      </w:r>
      <w:r>
        <w:t xml:space="preserve">Two-column framework. Prescription side: doctor-led, protocol-driven, repeat cycles, higher compliance burden, stronger moat. D2C side: high CAC, thin product differentiation, social stigma, imitation risk, weaker clinical lock-in. This exhibit will support the thesis that medicines and specialist-led platforms are better than broad sexual wellness brands.</w:t>
      </w:r>
    </w:p>
    <w:bookmarkEnd w:id="25"/>
    <w:bookmarkStart w:id="26" w:name="conclusion-for-the-detailed-section"/>
    <w:p>
      <w:pPr>
        <w:pStyle w:val="Heading3"/>
      </w:pPr>
      <w:r>
        <w:t xml:space="preserve">7. Conclusion for the detailed section</w:t>
      </w:r>
    </w:p>
    <w:p>
      <w:pPr>
        <w:pStyle w:val="FirstParagraph"/>
      </w:pPr>
      <w:r>
        <w:t xml:space="preserve">World Population Day should not be written as a population-control note. The stronger healthcare angle is that fertility is falling because people are delaying families, environmental stress is rising, and infertility is being diagnosed more openly across both women and men. India is already below replacement at the national level, and urban India is much further down the curve.</w:t>
      </w:r>
    </w:p>
    <w:p>
      <w:pPr>
        <w:pStyle w:val="BodyText"/>
      </w:pPr>
      <w:r>
        <w:t xml:space="preserve">For healthcare investors, this creates a clear split. Clinics such as Indira IVF show the service-side opportunity. Drug companies with real prescription women’s health portfolios capture the more scalable pharma pool. BSV gives Mankind the strongest domestic fertility-drug platform. Organon gives Sun the most credible global women’s health platform. Abbott remains a strong gynaecology-access player. AbbVie and Takeda are relevant for product science but weaker as pure investment exposures. Lupin’s portfolio clean-up is directionally positive. Biocon and Aurobindo have limited direct exposure.</w:t>
      </w:r>
    </w:p>
    <w:p>
      <w:pPr>
        <w:pStyle w:val="BodyText"/>
      </w:pPr>
      <w:r>
        <w:t xml:space="preserve">The investment call should stay disciplined. Fertility medicines, ART-linked drugs and specialist-led women’s health should compound better than D2C sexual wellness. The winners will be companies that combine doctor access, credible products, supply reliability, regulatory compliance and repeat-use protocols. The rest will remain brand-led consumer stories with weaker clinical depth.</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2026-07-06T10:38:56Z</dcterms:created>
  <dcterms:modified xsi:type="dcterms:W3CDTF">2026-07-06T10:38:56Z</dcterms:modified>
</cp:coreProperties>
</file>

<file path=docProps/custom.xml><?xml version="1.0" encoding="utf-8"?>
<Properties xmlns="http://schemas.openxmlformats.org/officeDocument/2006/custom-properties" xmlns:vt="http://schemas.openxmlformats.org/officeDocument/2006/docPropsVTypes"/>
</file>