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1DEB" w:rsidRDefault="00C1313C">
      <w:pPr>
        <w:pStyle w:val="BodyText"/>
      </w:pPr>
      <w:r>
        <w:rPr>
          <w:rStyle w:val="Strong"/>
        </w:rPr>
        <w:t>Eugia 40mg only:</w:t>
      </w:r>
      <w:r>
        <w:t xml:space="preserve"> Eugia’s approval is for </w:t>
      </w:r>
      <w:r>
        <w:rPr>
          <w:rStyle w:val="Strong"/>
        </w:rPr>
        <w:t>enzalutamide capsules</w:t>
      </w:r>
      <w:r>
        <w:t xml:space="preserve">, not tablets. Xtandi capsules are only </w:t>
      </w:r>
      <w:r>
        <w:rPr>
          <w:rStyle w:val="Strong"/>
        </w:rPr>
        <w:t>40mg</w:t>
      </w:r>
      <w:r>
        <w:t xml:space="preserve">, with the standard 160mg dose taken as four 40mg capsules. There is no 80mg capsule reference product. The 80mg strength is in the </w:t>
      </w:r>
      <w:r>
        <w:rPr>
          <w:rStyle w:val="Strong"/>
        </w:rPr>
        <w:t>tablet</w:t>
      </w:r>
      <w:r>
        <w:t xml:space="preserve"> formulation, where Xtandi is available as 40mg and 80mg tablets. The tablet route is more involved because Xtandi tablets use a spray-dried dispersion with HPMCAS, followed by downstream tablet processing, including granulation or powder handling, compaction and film coating. That can be harder than simply matching the legacy capsule route. However, we would not say compaction or granulation alone is the “deal breaker”; the bigger issue is choosing a different dosage-form pathway with different formulation IP, process know-how and BE requirements. WAC does not appear to be the driver: disclosed WAC is the same on a monthly-dose basis for 120 capsules of 40mg, 120 tablets of 40mg and 60 tablets of 80mg. So Eugia’s 40mg filing likely reflects a capsule-route strategy, while Zydus’ 40mg and 80mg tentative approval gives it the cleaner commercial read-through to the tablet market.</w:t>
      </w:r>
    </w:p>
    <w:sectPr w:rsidR="00981DE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E1AB9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13F2879"/>
    <w:multiLevelType w:val="multilevel"/>
    <w:tmpl w:val="DCC88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645956">
    <w:abstractNumId w:val="0"/>
  </w:num>
  <w:num w:numId="2" w16cid:durableId="2016686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81DEB"/>
    <w:rsid w:val="001060F6"/>
    <w:rsid w:val="00981DEB"/>
    <w:rsid w:val="00C13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360B49"/>
  <w15:docId w15:val="{DA48E9F9-88F3-184A-8959-DFB310C78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isselectedend">
    <w:name w:val="isselectedend"/>
    <w:basedOn w:val="Normal"/>
    <w:rsid w:val="001060F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060F6"/>
    <w:rPr>
      <w:b/>
      <w:bCs/>
    </w:rPr>
  </w:style>
  <w:style w:type="paragraph" w:styleId="NormalWeb">
    <w:name w:val="Normal (Web)"/>
    <w:basedOn w:val="Normal"/>
    <w:uiPriority w:val="99"/>
    <w:unhideWhenUsed/>
    <w:rsid w:val="001060F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2279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3</cp:revision>
  <dcterms:created xsi:type="dcterms:W3CDTF">2026-06-22T07:14:00Z</dcterms:created>
  <dcterms:modified xsi:type="dcterms:W3CDTF">2026-06-23T04:07:00Z</dcterms:modified>
</cp:coreProperties>
</file>