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Aurobindo Pharma: FTC approval clears Lannett acquisition, but valuation accretion appears largely reflected</w:t>
      </w:r>
    </w:p>
    <w:p>
      <w:pPr>
        <w:pStyle w:val="BodyText"/>
      </w:pPr>
      <w:r>
        <w:rPr>
          <w:b/>
          <w:bCs/>
        </w:rPr>
        <w:t xml:space="preserve">Market Perform</w:t>
      </w:r>
    </w:p>
    <w:p>
      <w:pPr>
        <w:pStyle w:val="BodyText"/>
      </w:pPr>
      <w:r>
        <w:t xml:space="preserve">Aurobindo Pharma USA has received FTC approval to proceed with the acquisition of Lannett Company LLC, removing the most important closing condition for the US$250mn transaction announced in July 2025. The deal is structured as a 100% acquisition of Lannett on a cash-free, debt-free basis, including normalized working capital. Aurobindo has guided for closing before the end of June 2026. This is not an FDA approval event and it is not an approval of a new Aurobindo product. It is an antitrust clearance event. The FTC clearance matters because it converts Lannett from a signed but pending asset into a near-term consolidation event for Aurobindo’s US business. The consent remedy is narrow: Aurobindo is required to divest rights and assets linked to four overlapping generic products to Quagen Pharmaceuticals, namely mycophenolate mofetil oral suspension, niacin ER tablets, pilocarpine tablets and rabeprazole sodium delayed-release tablets. These divestitures address product-market concentration concerns. They do not appear to impair the strategic core of the transaction, which is ADHD, non-opioid controlled substances, US manufacturing, CDMO, generic liquids and complex-generic pipeline optionality.</w:t>
      </w:r>
    </w:p>
    <w:p>
      <w:pPr>
        <w:pStyle w:val="BodyText"/>
      </w:pPr>
      <w:r>
        <w:t xml:space="preserve">Lannett is a long-standing US generic pharmaceutical company, founded in 1942 and headquartered in Trevose, Pennsylvania. The business is not a simple oral-solid commodity asset. It brings a portfolio concentrated in complex generic products, controlled substances and generic liquids, supported by a US manufacturing base in Seymour, Indiana. The facility is approximately 425,000 square feet, manufactures multiple dosage forms including tablets, capsules, powders and liquids, and has annual tablet capacity of approximately 3.6bn doses. Aurobindo’s own acquisition presentation also points to more than 500 employees, including 435 employees at the manufacturing site, and a strong FDA and DEA compliance track record. Lannett’s sales base has been broadly stable: net sales were US$314mn in FY2023, US$286mn in FY2024 and US$306mn for TTM 2025. That stability is important because Aurobindo is not buying a high-growth biotech asset. It is buying a post-restructuring, US-based manufacturing and specialty-generic platform where value should come from portfolio mix, utilization, cost takeout and regulatory execution rather than from headline top-line acceleration.</w:t>
      </w:r>
    </w:p>
    <w:p>
      <w:pPr>
        <w:pStyle w:val="BodyText"/>
      </w:pPr>
      <w:r>
        <w:t xml:space="preserve">The business mix has moved in the direction that matters most to Aurobindo. Lannett’s controlled-substance exposure increased materially across the period disclosed by Aurobindo’s transaction presentation, while non-controlled generics became a smaller part of the business mix. The reported composition appears to show controlled products rising from 29% of business mix in 2023 to 47% in 2025, non-controlled products falling from 67% to 47%, and CMO remaining small at 4% to 6%. This shift is relevant because generic-market value in the US is no longer created by scale in undifferentiated oral solids alone. The better pools of value sit in products where the number of credible suppliers is restricted by DEA quota management, controlled-substance handling, batch reconciliation, formulation know-how, device or delivery complexity, and customer reliability requirements. Lannett does not solve Aurobindo’s US generics challenges by itself. It does, however, move Aurobindo toward a more defensible portion of the generics profit pool.</w:t>
      </w:r>
    </w:p>
    <w:p>
      <w:pPr>
        <w:pStyle w:val="BodyText"/>
      </w:pPr>
      <w:r>
        <w:t xml:space="preserve">The most important product-level addition is ADHD. Aurobindo has had a large US generics franchise, but limited presence in non-opioid controlled substances, particularly ADHD therapeutics. Lannett gives Aurobindo an operating bridge into this category. This matters for three reasons. First, ADHD is operationally different from ordinary oral solids because controlled substances require stricter inventory controls, security protocols, documentation discipline, DEA compliance and supply predictability. Second, the US ADHD market has seen supply disruption over the last several years, which raises the value of reliable capacity and quota management. Third, controlled-substance generics can support better revenue durability than highly substitutable commodity generics, provided the company can execute without regulatory slippage. We would not frame ADHD as structurally high-margin by default. The category can be competitive, quota constrained and operationally demanding. The point is narrower: Lannett gives Aurobindo a ready-made controlled-substance platform in an area where it did not have comparable depth.</w:t>
      </w:r>
    </w:p>
    <w:p>
      <w:pPr>
        <w:pStyle w:val="BodyText"/>
      </w:pPr>
      <w:r>
        <w:t xml:space="preserve">There is also a respiratory optionality layer through Lannett’s agreement with Respirent for generic Advair Diskus. Advair Diskus is the fluticasone propionate and salmeterol dry powder inhaler franchise originally sold by GSK for asthma and COPD. Generic Advair is not comparable to a conventional tablet generic because the product depends on drug-device equivalence, dose delivery, inhalation performance, chemistry, manufacturing and controls, and regulatory confidence around substitutability. Lannett’s role is not that it developed the molecule independently inside its own base business. Lannett entered into an exclusive US distribution agreement with Respirent for a therapeutically equivalent generic Advair Diskus product. Under that agreement, Lannett would distribute the product in the US after FDA approval and receive a share of net profits. This is therefore an economic-rights opportunity rather than a fully owned Aurobindo respiratory asset. We see generic Advair as a useful near-term product kicker for Lannett, and potentially for Aurobindo after closing, but not as a standalone re-rating trigger. The product already has generic competition, including Mylan’s Wixela and other approved competitors. The economics should therefore be modeled conservatively, with shared profits and price competition rather than monopoly-generic margins.</w:t>
      </w:r>
    </w:p>
    <w:p>
      <w:pPr>
        <w:pStyle w:val="BodyText"/>
      </w:pPr>
      <w:r>
        <w:t xml:space="preserve">Why did Aurobindo buy Lannett? The first reason is portfolio access. Lannett brings Aurobindo into ADHD and non-opioid controlled substances, where Aurobindo’s pre-deal presence was limited. This is not a cosmetic adjacency. It is a different operating model within generics, with DEA-linked processes, higher documentation intensity and more constrained supplier entry. For a company whose US business has historically been driven by breadth of ANDAs and low-cost supply from India, Lannett adds a local, specialized and controlled-substance layer that Aurobindo could not build quickly without a long regulatory and commercial gestation cycle. The acquisition shortcuts that build-out.</w:t>
      </w:r>
    </w:p>
    <w:p>
      <w:pPr>
        <w:pStyle w:val="BodyText"/>
      </w:pPr>
      <w:r>
        <w:t xml:space="preserve">The second reason is valuation. Aurobindo is paying US$250mn for a business with approximately US$306mn of latest disclosed annual turnover, which translates into approximately 0.82x net sales. On Aurobindo’s own disclosure, the transaction was also priced at 2.7x gross margin and Lannett EBITDA before synergies was approximately 15%. This is not a demanding acquisition multiple for a US-based generic manufacturer with controlled-substance capabilities, a meaningful facility footprint and pipeline optionality. The price reflects Lannett’s history as a restructured generic company rather than a scarcity-value specialty asset. That is exactly why the deal can be value-accretive without being strategically transformative. Aurobindo is buying a cleaned-up platform at a reasonable price, not paying a full strategic-control premium for peak-cycle margins.</w:t>
      </w:r>
    </w:p>
    <w:p>
      <w:pPr>
        <w:pStyle w:val="BodyText"/>
      </w:pPr>
      <w:r>
        <w:t xml:space="preserve">The third reason is manufacturing geography. Aurobindo’s US business has historically benefited from Indian cost competitiveness, but the direction of travel in the US is clear: localization, supply-chain resilience and domestic manufacturing are becoming incrementally more valuable. Lannett’s Seymour facility gives Aurobindo incremental US manufacturing capacity in tablets, capsules, powders and liquids, with substantial headroom for utilization improvement. Aurobindo’s presentation points to approximately 4bn annual dose capacity at around 40% utilization. That underutilization is both the risk and the opportunity. The risk is fixed-cost absorption. The opportunity is unit-cost reduction if Aurobindo can route incremental volume through the site, rationalize procurement, reduce duplicate overhead and use the asset for US-market reliability. In our view, the manufacturing asset is more valuable strategically than the near-term revenue contribution suggests.</w:t>
      </w:r>
    </w:p>
    <w:p>
      <w:pPr>
        <w:pStyle w:val="BodyText"/>
      </w:pPr>
      <w:r>
        <w:t xml:space="preserve">The fourth reason is regulatory operating culture. Our initiation thesis on Aurobindo has consistently assigned a discount for inspection volatility and quality-culture issues across the group’s manufacturing network. Lannett does not eliminate that risk. It also does not automatically make Aurobindo a lower-risk FDA story. But it can dilute the problem in the US business if Aurobindo uses the asset properly. Controlled-substance manufacturing requires a tighter operating cadence than standard oral solids: batch reconciliation, controlled inventory movement, diversion prevention, documentation, DEA interface and shop-floor training need to be embedded into daily behavior. This type of operating muscle can become useful beyond ADHD if Aurobindo transfers selected products, quality systems and training practices across its US network. The better way to phrase the benefit is this: Lannett adds a US site with a controlled-substance compliance culture, which may reduce marginal execution risk in Aurobindo’s US supply chain over time. It does not remove the company’s legacy FDA overhang.</w:t>
      </w:r>
    </w:p>
    <w:p>
      <w:pPr>
        <w:pStyle w:val="BodyText"/>
      </w:pPr>
      <w:r>
        <w:t xml:space="preserve">The FTC remedy should also be read carefully. The divestiture requirement does not signal a broad regulatory objection to Aurobindo buying Lannett. It signals that in four narrow generic markets, Aurobindo and Lannett were too important to be combined without loss of competition. In pilocarpine, for example, Lannett had a very high share in the US market, and in certain strengths Aurobindo and Lannett were among the only meaningful suppliers. In rabeprazole and niacin ER, both companies were significant competitors. From an equity-analysis perspective, the remedy has two implications. First, it removes some revenue and profit from the acquired base, although we do not believe these four products represent the strategic center of the deal. Second, it confirms that the FTC’s concern was conventional generic-market concentration, not the acquisition of ADHD capabilities, the Seymour facility or the broader complex-generic pipeline. That distinction matters because the strategic assets Aurobindo wanted remain intact.</w:t>
      </w:r>
    </w:p>
    <w:p>
      <w:pPr>
        <w:pStyle w:val="BodyText"/>
      </w:pPr>
      <w:r>
        <w:t xml:space="preserve">Financially, the acquisition is positive but not thesis-changing. Aurobindo has disclosed approximately ₹5 per share EPS accretion from the transaction. Our transaction framework implies that Lannett can add approximately ₹40 per share to Aurobindo’s fair value, while the standalone Lannett valuation contribution is approximately ₹12 per share. The distinction is important. The ₹12 per share represents the direct Lannett asset valuation in our framework. The ₹40 per share reflects the broader share-price impact from the transaction, including consolidation, accretion and value capture from buying the asset at a reasonable price. In US dollar terms, our framework values Lannett at approximately US$358mn versus an acquisition price of US$250mn, implying approximately US$108mn of net economic value creation before translating to Aurobindo’s equity value. The math supports value accretion. It does not support a change in the investment case.</w:t>
      </w:r>
    </w:p>
    <w:p>
      <w:pPr>
        <w:pStyle w:val="BodyText"/>
      </w:pPr>
      <w:r>
        <w:t xml:space="preserve">Our operating assumptions remain deliberately conservative. We model Lannett revenue growing at mid-single-digit rates over the next few years, supported by ADHD, controlled substances, generic liquids, CDMO contribution and the respiratory kicker from generic Advair. We do not assume a step-change growth trajectory. For CY2026E, CY2027E and CY2028E, our Lannett model assumes total sales of US$359mn, US$389mn and US$462mn. This includes US sales of US$359mn, US$354mn and US$373mn, with EU sales beginning to contribute from CY2027E at US$35mn and scaling to US$89mn by CY2028E. Gross margin is assumed to improve from 18% to 20% over CY2026E to CY2028E as utilization improves. EBITDA margin is modeled at 6.5%, 7.5% and 9.0%, respectively, which is below the 15% pre-synergy margin disclosed in Aurobindo’s transaction presentation. This conservatism reflects divestitures, channel economics, integration cost, product-mix normalization and the fact that acquired generic portfolios often look better at headline EBITDA than at sustainable post-integration contribution.</w:t>
      </w:r>
    </w:p>
    <w:p>
      <w:pPr>
        <w:pStyle w:val="BodyText"/>
      </w:pPr>
      <w:r>
        <w:t xml:space="preserve">The P&amp;L issue is margin dilution. Lannett adds revenue, but it does not add Aurobindo-level margins in the near term. In our pro forma view, Aurobindo USA standalone operates at approximately 23% EBITDA margin. Consolidating Lannett takes the combined US EBITDA margin to approximately 21%, implying around 200bps of near-term dilution. This is not surprising. Lannett’s portfolio is largely generic, carries lower structural gross margin, and includes a US manufacturing footprint with underutilized capacity. Cost synergies can improve the margin profile over time, but the initial consolidation optics are dilutive. This is the central tension in the investment case: the acquisition improves strategic quality and revenue breadth, but weakens near-term margin mix.</w:t>
      </w:r>
    </w:p>
    <w:p>
      <w:pPr>
        <w:pStyle w:val="BodyText"/>
      </w:pPr>
      <w:r>
        <w:t xml:space="preserve">We would not overstate the Advair contribution. Generic Advair is a high-barrier respiratory product, and high-barrier respiratory generics deserve better valuation treatment than plain oral solids. But this is not a first-generic opportunity, and Lannett’s economics are shared with Respirent. We would treat Advair as a near-term revenue and EBITDA support factor rather than a standalone catalyst. Street references to US$30mn to US$40mn potential annual US revenue appear plausible directionally, but the EBITDA flow-through will depend on launch timing, pricing, channel share, Respirent profit share, manufacturing economics and competitive response. For Aurobindo, Advair is useful because it improves the narrative around complex generics. It is not sufficient to underwrite a fresh rerating without clearer evidence on net economics.</w:t>
      </w:r>
    </w:p>
    <w:p>
      <w:pPr>
        <w:pStyle w:val="BodyText"/>
      </w:pPr>
      <w:r>
        <w:t xml:space="preserve">The quality-culture argument is more interesting than the headline EPS accretion. Aurobindo has historically carried a valuation discount for recurring USFDA inspection risk and perceived inconsistency across sites. Lannett’s site has a controlled-substance and DEA-linked operating architecture, and ADHD products require a process discipline that is difficult to retrofit into weak systems. If Aurobindo uses Lannett merely as an acquired P&amp;L, the strategic benefit will be limited. If Aurobindo uses Lannett as a US operating beachhead, a controlled-substance capability center, and a training template for selected US products, the value is higher than the initial EBITDA contribution. This is the real upside case, but it is not immediate. It requires management discipline, site-level integration and evidence from future FDA outcomes.</w:t>
      </w:r>
    </w:p>
    <w:p>
      <w:pPr>
        <w:pStyle w:val="BodyText"/>
      </w:pPr>
      <w:r>
        <w:t xml:space="preserve">The balance-sheet and integration risks are manageable, but real. US$250mn is not a balance-sheet-stressing amount for Aurobindo, but the transaction follows a period where investors are already scrutinizing capital allocation across generics, injectables, biosimilars and manufacturing investments. The key risk is not financial leverage. The key risk is integration drag. Aurobindo must keep Lannett’s controlled-substance operations intact, avoid disruption in DEA-governed supply, extract SG&amp;A and procurement synergies, manage FTC divestitures within the required timeline, and decide which products should be transferred or scaled through Seymour. Generic acquisitions often disappoint when buyers treat them as revenue bolt-ons and underestimate site-level complexity. Aurobindo’s execution record in the US has improved, but not enough for us to capitalize all synergies upfront.</w:t>
      </w:r>
    </w:p>
    <w:p>
      <w:pPr>
        <w:pStyle w:val="BodyText"/>
      </w:pPr>
      <w:r>
        <w:t xml:space="preserve">The stock implication is balanced. FTC approval is positive because it removes the largest closing uncertainty and allows investors to model Lannett into Aurobindo’s US business. The deal is value-accretive on our transaction framework and strategically sensible because it adds ADHD, non-opioid controlled substances, US manufacturing, CDMO optionality and a respiratory product kicker. However, the magnitude is modest relative to Aurobindo’s overall equity value, and the acquisition is near-term margin dilutive by approximately 100bps to 200bps at the consolidated US business level. We believe the market is already underwriting most of the transaction benefit. The incremental upside now depends less on FTC clearance and more on post-closing evidence: Lannett revenue retention, ADHD execution, Advair launch economics, synergy capture, FDA inspection outcomes and margin normalization.</w:t>
      </w:r>
    </w:p>
    <w:p>
      <w:pPr>
        <w:pStyle w:val="BodyText"/>
      </w:pPr>
      <w:r>
        <w:t xml:space="preserve">Net-net, Lannett is the right kind of asset at the right kind of price, but not yet the right kind of catalyst for a stock rerating. The acquisition improves Aurobindo’s US portfolio quality and strategic optionality, but near-term financial contribution remains limited and margin dilution offsets part of the revenue accretion. We therefore treat FTC approval as a de-risking event, not a thesis-changing event. Aurobindo remains a Market Perform: value creation from Lannett is real, but largely reflected in the stock unless management demonstrates faster-than-expected synergy delivery, cleaner regulatory execution and stronger net economics from ADHD and generic Advair.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2026-06-23T09:38:27Z</dcterms:created>
  <dcterms:modified xsi:type="dcterms:W3CDTF">2026-06-23T09:38:27Z</dcterms:modified>
</cp:coreProperties>
</file>

<file path=docProps/custom.xml><?xml version="1.0" encoding="utf-8"?>
<Properties xmlns="http://schemas.openxmlformats.org/officeDocument/2006/custom-properties" xmlns:vt="http://schemas.openxmlformats.org/officeDocument/2006/docPropsVTypes"/>
</file>