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80" w:line="247" w:lineRule="auto"/>
      </w:pPr>
      <w:r>
        <w:rPr>
          <w:rFonts w:ascii="Arial" w:hAnsi="Arial"/>
          <w:b/>
          <w:color w:val="000000"/>
          <w:sz w:val="20"/>
        </w:rPr>
        <w:t xml:space="preserve">Subject: </w:t>
      </w:r>
      <w:r>
        <w:rPr>
          <w:b w:val="0"/>
        </w:rPr>
        <w:t>Invitation-only | Bernstein India Healthcare &amp; Pharma Tour 2027 | 19–22 January | Singapore &amp; Shanghai</w:t>
      </w:r>
    </w:p>
    <w:p>
      <w:pPr>
        <w:keepNext w:val="0"/>
        <w:spacing w:before="0" w:after="180" w:line="247" w:lineRule="auto"/>
      </w:pPr>
      <w:r>
        <w:rPr>
          <w:rFonts w:ascii="Arial" w:hAnsi="Arial"/>
          <w:b w:val="0"/>
          <w:color w:val="000000"/>
          <w:sz w:val="20"/>
        </w:rPr>
      </w:r>
      <w:r>
        <w:rPr>
          <w:b/>
        </w:rPr>
        <w:t>Join Nandan Kulkarni (India Healthcare)</w:t>
      </w:r>
      <w:r>
        <w:t xml:space="preserve"> on the Bernstein India Healthcare &amp; Pharma Tour 2027. The tour will take place on </w:t>
      </w:r>
      <w:r>
        <w:rPr>
          <w:b/>
        </w:rPr>
        <w:t>19–22 January 2027</w:t>
      </w:r>
      <w:r>
        <w:t xml:space="preserve"> in Singapore and Shanghai, with a focus on Pharma AI Dark Factory and CDMO.</w:t>
      </w:r>
    </w:p>
    <w:p>
      <w:pPr>
        <w:keepNext/>
        <w:spacing w:before="0" w:after="60" w:line="247" w:lineRule="auto"/>
      </w:pPr>
      <w:r>
        <w:rPr>
          <w:rFonts w:ascii="Arial" w:hAnsi="Arial"/>
          <w:b/>
          <w:color w:val="000000"/>
          <w:sz w:val="20"/>
        </w:rPr>
        <w:t>Invitations:</w:t>
      </w:r>
    </w:p>
    <w:p>
      <w:pPr>
        <w:keepNext w:val="0"/>
        <w:spacing w:before="0" w:after="40" w:line="247" w:lineRule="auto"/>
        <w:ind w:left="259" w:hanging="259"/>
      </w:pPr>
      <w:r>
        <w:rPr>
          <w:rFonts w:ascii="Arial" w:hAnsi="Arial"/>
          <w:b w:val="0"/>
          <w:color w:val="000000"/>
          <w:sz w:val="20"/>
        </w:rPr>
        <w:t>1.  This investor trip is invitation-only.</w:t>
      </w:r>
    </w:p>
    <w:p>
      <w:pPr>
        <w:keepNext w:val="0"/>
        <w:spacing w:before="0" w:after="40" w:line="247" w:lineRule="auto"/>
        <w:ind w:left="259" w:hanging="259"/>
      </w:pPr>
      <w:r>
        <w:rPr>
          <w:rFonts w:ascii="Arial" w:hAnsi="Arial"/>
          <w:b w:val="0"/>
          <w:color w:val="000000"/>
          <w:sz w:val="20"/>
        </w:rPr>
        <w:t>2.  The target group size is 10–12 clients.</w:t>
      </w:r>
    </w:p>
    <w:p>
      <w:pPr>
        <w:keepNext w:val="0"/>
        <w:spacing w:before="0" w:after="160" w:line="247" w:lineRule="auto"/>
        <w:ind w:left="259" w:hanging="259"/>
      </w:pPr>
      <w:r>
        <w:rPr>
          <w:rFonts w:ascii="Arial" w:hAnsi="Arial"/>
          <w:b w:val="0"/>
          <w:color w:val="000000"/>
          <w:sz w:val="20"/>
        </w:rPr>
        <w:t>3.  Client booking and registration are subject to compliance review and approvals.</w:t>
      </w:r>
    </w:p>
    <w:p>
      <w:pPr>
        <w:keepNext/>
        <w:spacing w:before="0" w:after="60" w:line="247" w:lineRule="auto"/>
      </w:pPr>
      <w:r>
        <w:rPr>
          <w:rFonts w:ascii="Arial" w:hAnsi="Arial"/>
          <w:b/>
          <w:color w:val="000000"/>
          <w:sz w:val="20"/>
        </w:rPr>
        <w:t>Sales Submission of Indications of Interest:</w:t>
      </w:r>
    </w:p>
    <w:p>
      <w:pPr>
        <w:keepNext w:val="0"/>
        <w:spacing w:before="0" w:after="100" w:line="247" w:lineRule="auto"/>
      </w:pPr>
      <w:r>
        <w:rPr>
          <w:rFonts w:ascii="Arial" w:hAnsi="Arial"/>
          <w:b w:val="0"/>
          <w:color w:val="000000"/>
          <w:sz w:val="20"/>
        </w:rPr>
      </w:r>
      <w:r>
        <w:t xml:space="preserve">Please send client indications of interest to Bernstein AP Investor Access at </w:t>
      </w:r>
      <w:hyperlink r:id="rId9">
        <w:r>
          <w:rPr>
            <w:color w:val="2B627D"/>
            <w:sz w:val="20"/>
            <w:rFonts w:ascii="Arial" w:hAnsi="Arial"/>
            <w:u w:val="single"/>
          </w:rPr>
          <w:t>BernsteinAPInvestorAccess@bernsteinsg.com</w:t>
        </w:r>
      </w:hyperlink>
      <w:r>
        <w:t xml:space="preserve"> and coordinate with Ranjitha Shetty for booking, registration and further details.</w:t>
      </w:r>
    </w:p>
    <w:p>
      <w:pPr>
        <w:keepNext w:val="0"/>
        <w:spacing w:before="0" w:after="100" w:line="247" w:lineRule="auto"/>
      </w:pPr>
      <w:r>
        <w:rPr>
          <w:rFonts w:ascii="Arial" w:hAnsi="Arial"/>
          <w:b w:val="0"/>
          <w:color w:val="000000"/>
          <w:sz w:val="20"/>
        </w:rPr>
        <w:t>Next steps are client onboarding, compliance review and approvals, and formal setup of the tour in the relevant systems.</w:t>
      </w:r>
    </w:p>
    <w:p>
      <w:pPr>
        <w:keepNext w:val="0"/>
        <w:spacing w:before="0" w:after="220" w:line="247" w:lineRule="auto"/>
      </w:pPr>
      <w:r>
        <w:rPr>
          <w:rFonts w:ascii="Arial" w:hAnsi="Arial"/>
          <w:b w:val="0"/>
          <w:color w:val="000000"/>
          <w:sz w:val="20"/>
        </w:rPr>
        <w:t>Please reach out to Bernstein AP Investor Access with any questions.</w:t>
      </w:r>
    </w:p>
    <w:tbl>
      <w:tblPr>
        <w:tblW w:type="auto" w:w="0"/>
        <w:jc w:val="center"/>
        <w:tblLayout w:type="fixed"/>
        <w:tblLook w:firstColumn="1" w:firstRow="1" w:lastColumn="0" w:lastRow="0" w:noHBand="0" w:noVBand="1" w:val="04A0"/>
        <w:tblBorders>
          <w:top w:val="single" w:sz="5" w:color="9A9A9A"/>
          <w:left w:val="single" w:sz="5" w:color="9A9A9A"/>
          <w:bottom w:val="single" w:sz="5" w:color="9A9A9A"/>
          <w:right w:val="single" w:sz="5" w:color="9A9A9A"/>
          <w:insideH w:val="nil" w:sz="5" w:color="9A9A9A"/>
          <w:insideV w:val="nil" w:sz="5" w:color="9A9A9A"/>
        </w:tblBorders>
      </w:tblPr>
      <w:tblGrid>
        <w:gridCol w:w="10224"/>
      </w:tblGrid>
      <w:tr>
        <w:tc>
          <w:tcPr>
            <w:tcW w:type="dxa" w:w="10224"/>
            <w:tcMar>
              <w:top w:w="125" w:type="dxa"/>
              <w:start w:w="230" w:type="dxa"/>
              <w:bottom w:w="150" w:type="dxa"/>
              <w:end w:w="230" w:type="dxa"/>
            </w:tcMar>
          </w:tcPr>
          <w:p>
            <w:pPr>
              <w:keepNext/>
              <w:spacing w:after="0" w:before="0" w:line="240" w:lineRule="auto"/>
            </w:pPr>
            <w:r>
              <w:rPr>
                <w:sz w:val="2"/>
              </w:rPr>
            </w:r>
          </w:p>
          <w:tbl>
            <w:tblPr>
              <w:tblW w:type="auto" w:w="0"/>
              <w:tblLayout w:type="fixed"/>
              <w:tblLook w:firstColumn="1" w:firstRow="1" w:lastColumn="0" w:lastRow="0" w:noHBand="0" w:noVBand="1" w:val="04A0"/>
              <w:tblBorders>
                <w:top w:val="nil" w:sz="0" w:color="FFFFFF"/>
                <w:left w:val="nil" w:sz="0" w:color="FFFFFF"/>
                <w:bottom w:val="nil" w:sz="0" w:color="FFFFFF"/>
                <w:right w:val="nil" w:sz="0" w:color="FFFFFF"/>
                <w:insideH w:val="nil" w:sz="0" w:color="FFFFFF"/>
                <w:insideV w:val="nil" w:sz="0" w:color="FFFFFF"/>
              </w:tblBorders>
            </w:tblPr>
            <w:tblGrid>
              <w:gridCol w:w="9749"/>
            </w:tblGrid>
            <w:tr>
              <w:tc>
                <w:tcPr>
                  <w:tcW w:type="dxa" w:w="10224"/>
                  <w:shd w:fill="07314B"/>
                  <w:tcMar>
                    <w:top w:w="170" w:type="dxa"/>
                    <w:start w:w="220" w:type="dxa"/>
                    <w:bottom w:w="180" w:type="dxa"/>
                    <w:end w:w="210" w:type="dxa"/>
                  </w:tcMar>
                </w:tcPr>
                <w:p>
                  <w:pPr>
                    <w:keepNext/>
                    <w:spacing w:after="0" w:before="0" w:line="240" w:lineRule="auto"/>
                  </w:pPr>
                  <w:r>
                    <w:rPr>
                      <w:sz w:val="2"/>
                    </w:rPr>
                  </w:r>
                </w:p>
                <w:p>
                  <w:pPr>
                    <w:keepNext w:val="0"/>
                    <w:spacing w:before="0" w:after="0" w:line="247" w:lineRule="auto"/>
                  </w:pPr>
                  <w:r>
                    <w:rPr>
                      <w:rFonts w:ascii="Arial" w:hAnsi="Arial"/>
                      <w:b/>
                      <w:color w:val="FFFFFF"/>
                      <w:sz w:val="44"/>
                    </w:rPr>
                    <w:t>BERNSTEIN</w:t>
                  </w:r>
                </w:p>
                <w:p>
                  <w:pPr>
                    <w:keepNext w:val="0"/>
                    <w:spacing w:before="0" w:after="280" w:line="247" w:lineRule="auto"/>
                  </w:pPr>
                  <w:r>
                    <w:rPr>
                      <w:rFonts w:ascii="Arial" w:hAnsi="Arial"/>
                      <w:b/>
                      <w:color w:val="FFFFFF"/>
                      <w:sz w:val="14"/>
                    </w:rPr>
                    <w:t>SOCIETE GENERALE GROUP</w:t>
                  </w:r>
                </w:p>
                <w:p>
                  <w:pPr>
                    <w:keepNext w:val="0"/>
                    <w:spacing w:before="0" w:after="140" w:line="247" w:lineRule="auto"/>
                  </w:pPr>
                  <w:r>
                    <w:rPr>
                      <w:rFonts w:ascii="Arial" w:hAnsi="Arial"/>
                      <w:b/>
                      <w:color w:val="89D4EC"/>
                      <w:sz w:val="20"/>
                    </w:rPr>
                    <w:t>INVITATION</w:t>
                  </w:r>
                </w:p>
                <w:p>
                  <w:pPr>
                    <w:keepNext w:val="0"/>
                    <w:spacing w:before="0" w:after="180" w:line="247" w:lineRule="auto"/>
                  </w:pPr>
                  <w:r>
                    <w:rPr>
                      <w:rFonts w:ascii="Arial" w:hAnsi="Arial"/>
                      <w:b/>
                      <w:color w:val="FFFFFF"/>
                      <w:sz w:val="48"/>
                    </w:rPr>
                    <w:t>India Healthcare &amp; Pharma</w:t>
                    <w:br/>
                    <w:t>Tour 2027</w:t>
                  </w:r>
                </w:p>
                <w:p>
                  <w:pPr>
                    <w:keepNext w:val="0"/>
                    <w:spacing w:before="0" w:after="0" w:line="247" w:lineRule="auto"/>
                  </w:pPr>
                  <w:r>
                    <w:rPr>
                      <w:rFonts w:ascii="Arial" w:hAnsi="Arial"/>
                      <w:b/>
                      <w:color w:val="B2D7E9"/>
                      <w:sz w:val="20"/>
                    </w:rPr>
                    <w:t>PHARMA AI DARK FACTORY  |  CDMO</w:t>
                  </w:r>
                </w:p>
              </w:tc>
            </w:tr>
          </w:tbl>
          <w:p/>
          <w:p>
            <w:pPr>
              <w:keepNext/>
              <w:spacing w:before="200" w:after="200" w:line="247" w:lineRule="auto"/>
            </w:pPr>
            <w:r>
              <w:rPr>
                <w:rFonts w:ascii="Arial" w:hAnsi="Arial"/>
                <w:b/>
                <w:color w:val="000000"/>
                <w:sz w:val="32"/>
              </w:rPr>
              <w:t>Bernstein India Healthcare &amp; Pharma Tour 2027</w:t>
            </w:r>
          </w:p>
          <w:p>
            <w:pPr>
              <w:keepNext w:val="0"/>
              <w:spacing w:before="0" w:after="200" w:line="247" w:lineRule="auto"/>
            </w:pPr>
            <w:r>
              <w:rPr>
                <w:rFonts w:ascii="Arial" w:hAnsi="Arial"/>
                <w:b/>
                <w:color w:val="2B627D"/>
                <w:sz w:val="21"/>
              </w:rPr>
              <w:t>Nandan Kulkarni – India Healthcare</w:t>
            </w:r>
          </w:p>
          <w:tbl>
            <w:tblPr>
              <w:tblW w:type="auto" w:w="0"/>
              <w:tblLayout w:type="fixed"/>
              <w:tblLook w:firstColumn="1" w:firstRow="1" w:lastColumn="0" w:lastRow="0" w:noHBand="0" w:noVBand="1" w:val="04A0"/>
              <w:tblBorders>
                <w:top w:val="nil" w:sz="0" w:color="FFFFFF"/>
                <w:left w:val="nil" w:sz="0" w:color="FFFFFF"/>
                <w:bottom w:val="nil" w:sz="0" w:color="FFFFFF"/>
                <w:right w:val="nil" w:sz="0" w:color="FFFFFF"/>
                <w:insideH w:val="nil" w:sz="0" w:color="FFFFFF"/>
                <w:insideV w:val="nil" w:sz="0" w:color="FFFFFF"/>
              </w:tblBorders>
            </w:tblPr>
            <w:tblGrid>
              <w:gridCol w:w="1944"/>
              <w:gridCol w:w="7560"/>
            </w:tblGrid>
            <w:tr>
              <w:trPr>
                <w:cantSplit/>
              </w:trPr>
              <w:tc>
                <w:tcPr>
                  <w:tcW w:type="dxa" w:w="1944"/>
                  <w:tcMar>
                    <w:top w:w="35" w:type="dxa"/>
                    <w:start w:w="0" w:type="dxa"/>
                    <w:bottom w:w="35" w:type="dxa"/>
                    <w:end w:w="40" w:type="dxa"/>
                  </w:tcMar>
                </w:tcPr>
                <w:p>
                  <w:pPr>
                    <w:spacing w:after="0"/>
                  </w:pPr>
                  <w:r>
                    <w:rPr>
                      <w:b/>
                      <w:sz w:val="20"/>
                    </w:rPr>
                    <w:t>Date/Time:</w:t>
                  </w:r>
                </w:p>
              </w:tc>
              <w:tc>
                <w:tcPr>
                  <w:tcW w:type="dxa" w:w="7560"/>
                  <w:tcMar>
                    <w:top w:w="35" w:type="dxa"/>
                    <w:start w:w="0" w:type="dxa"/>
                    <w:bottom w:w="35" w:type="dxa"/>
                    <w:end w:w="40" w:type="dxa"/>
                  </w:tcMar>
                </w:tcPr>
                <w:p>
                  <w:pPr>
                    <w:spacing w:after="0"/>
                  </w:pPr>
                  <w:r>
                    <w:rPr>
                      <w:b/>
                      <w:sz w:val="20"/>
                    </w:rPr>
                    <w:t>Tuesday–Friday, 19–22 January 2027</w:t>
                  </w:r>
                </w:p>
              </w:tc>
            </w:tr>
            <w:tr>
              <w:trPr>
                <w:cantSplit/>
              </w:trPr>
              <w:tc>
                <w:tcPr>
                  <w:tcW w:type="dxa" w:w="1944"/>
                  <w:tcMar>
                    <w:top w:w="35" w:type="dxa"/>
                    <w:start w:w="0" w:type="dxa"/>
                    <w:bottom w:w="35" w:type="dxa"/>
                    <w:end w:w="40" w:type="dxa"/>
                  </w:tcMar>
                </w:tcPr>
                <w:p>
                  <w:pPr>
                    <w:spacing w:after="0"/>
                  </w:pPr>
                  <w:r>
                    <w:rPr>
                      <w:b/>
                      <w:sz w:val="20"/>
                    </w:rPr>
                    <w:t>Format:</w:t>
                  </w:r>
                </w:p>
              </w:tc>
              <w:tc>
                <w:tcPr>
                  <w:tcW w:type="dxa" w:w="7560"/>
                  <w:tcMar>
                    <w:top w:w="35" w:type="dxa"/>
                    <w:start w:w="0" w:type="dxa"/>
                    <w:bottom w:w="35" w:type="dxa"/>
                    <w:end w:w="40" w:type="dxa"/>
                  </w:tcMar>
                </w:tcPr>
                <w:p>
                  <w:pPr>
                    <w:spacing w:after="0"/>
                  </w:pPr>
                  <w:r>
                    <w:rPr>
                      <w:b/>
                      <w:sz w:val="20"/>
                    </w:rPr>
                    <w:t>Tour (In-Person) | Invitation-only</w:t>
                  </w:r>
                </w:p>
              </w:tc>
            </w:tr>
            <w:tr>
              <w:trPr>
                <w:cantSplit/>
              </w:trPr>
              <w:tc>
                <w:tcPr>
                  <w:tcW w:type="dxa" w:w="1944"/>
                  <w:tcMar>
                    <w:top w:w="35" w:type="dxa"/>
                    <w:start w:w="0" w:type="dxa"/>
                    <w:bottom w:w="35" w:type="dxa"/>
                    <w:end w:w="40" w:type="dxa"/>
                  </w:tcMar>
                </w:tcPr>
                <w:p>
                  <w:pPr>
                    <w:spacing w:after="0"/>
                  </w:pPr>
                  <w:r>
                    <w:rPr>
                      <w:b/>
                      <w:sz w:val="20"/>
                    </w:rPr>
                    <w:t>Location:</w:t>
                  </w:r>
                </w:p>
              </w:tc>
              <w:tc>
                <w:tcPr>
                  <w:tcW w:type="dxa" w:w="7560"/>
                  <w:tcMar>
                    <w:top w:w="35" w:type="dxa"/>
                    <w:start w:w="0" w:type="dxa"/>
                    <w:bottom w:w="35" w:type="dxa"/>
                    <w:end w:w="40" w:type="dxa"/>
                  </w:tcMar>
                </w:tcPr>
                <w:p>
                  <w:pPr>
                    <w:spacing w:after="0"/>
                  </w:pPr>
                  <w:r>
                    <w:rPr>
                      <w:b/>
                      <w:sz w:val="20"/>
                    </w:rPr>
                    <w:t>Singapore &amp; Shanghai, China</w:t>
                  </w:r>
                </w:p>
              </w:tc>
            </w:tr>
          </w:tbl>
          <w:p/>
          <w:p>
            <w:pPr>
              <w:keepNext w:val="0"/>
              <w:spacing w:before="180" w:after="100" w:line="247" w:lineRule="auto"/>
            </w:pPr>
            <w:r>
              <w:rPr>
                <w:rFonts w:ascii="Arial" w:hAnsi="Arial"/>
                <w:b w:val="0"/>
                <w:color w:val="000000"/>
                <w:sz w:val="20"/>
              </w:rPr>
              <w:t>Join Nandan Kulkarni from 19 to 22 January 2027 for the Bernstein India Healthcare &amp; Pharma Tour in Singapore and Shanghai. The four-day programme combines a Rockwell Singapore Dark AI Factory visit, an expert discussion, a WuXi site visit and visits to two additional biotech facilities in Shanghai. The agenda includes:</w:t>
            </w:r>
          </w:p>
          <w:p>
            <w:pPr>
              <w:keepNext w:val="0"/>
              <w:spacing w:before="0" w:after="40" w:line="247" w:lineRule="auto"/>
              <w:ind w:left="259" w:hanging="259"/>
            </w:pPr>
            <w:r>
              <w:rPr>
                <w:rFonts w:ascii="Arial" w:hAnsi="Arial"/>
                <w:b w:val="0"/>
                <w:color w:val="000000"/>
                <w:sz w:val="20"/>
              </w:rPr>
              <w:t>•  Rockwell factory visit in Singapore, focused on AI and automation.</w:t>
            </w:r>
          </w:p>
          <w:p>
            <w:pPr>
              <w:keepNext w:val="0"/>
              <w:spacing w:before="0" w:after="40" w:line="247" w:lineRule="auto"/>
              <w:ind w:left="259" w:hanging="259"/>
            </w:pPr>
            <w:r>
              <w:rPr>
                <w:rFonts w:ascii="Arial" w:hAnsi="Arial"/>
                <w:b w:val="0"/>
                <w:color w:val="000000"/>
                <w:sz w:val="20"/>
              </w:rPr>
              <w:t>•  Expert discussion followed by travel to Shanghai.</w:t>
            </w:r>
          </w:p>
          <w:p>
            <w:pPr>
              <w:keepNext w:val="0"/>
              <w:spacing w:before="0" w:after="140" w:line="247" w:lineRule="auto"/>
              <w:ind w:left="259" w:hanging="259"/>
            </w:pPr>
            <w:r>
              <w:rPr>
                <w:rFonts w:ascii="Arial" w:hAnsi="Arial"/>
                <w:b w:val="0"/>
                <w:color w:val="000000"/>
                <w:sz w:val="20"/>
              </w:rPr>
              <w:t>•  WuXi and two additional biotech facility visits in Shanghai.</w:t>
            </w:r>
          </w:p>
          <w:p>
            <w:pPr>
              <w:keepNext w:val="0"/>
              <w:spacing w:before="0" w:after="60" w:line="247" w:lineRule="auto"/>
            </w:pPr>
            <w:r>
              <w:rPr>
                <w:rFonts w:ascii="Arial" w:hAnsi="Arial"/>
                <w:b/>
                <w:color w:val="000000"/>
                <w:sz w:val="20"/>
              </w:rPr>
              <w:t>Seats are limited to 10–12 clients. Please contact your Bernstein salesperson for RSVP.</w:t>
            </w:r>
          </w:p>
        </w:tc>
      </w:tr>
    </w:tbl>
    <w:p>
      <w:r>
        <w:br w:type="page"/>
      </w:r>
    </w:p>
    <w:tbl>
      <w:tblPr>
        <w:tblW w:type="auto" w:w="0"/>
        <w:jc w:val="center"/>
        <w:tblLayout w:type="fixed"/>
        <w:tblLook w:firstColumn="1" w:firstRow="1" w:lastColumn="0" w:lastRow="0" w:noHBand="0" w:noVBand="1" w:val="04A0"/>
        <w:tblBorders>
          <w:top w:val="single" w:sz="5" w:color="9A9A9A"/>
          <w:left w:val="single" w:sz="5" w:color="9A9A9A"/>
          <w:bottom w:val="single" w:sz="5" w:color="9A9A9A"/>
          <w:right w:val="single" w:sz="5" w:color="9A9A9A"/>
          <w:insideH w:val="nil" w:sz="5" w:color="9A9A9A"/>
          <w:insideV w:val="nil" w:sz="5" w:color="9A9A9A"/>
        </w:tblBorders>
      </w:tblPr>
      <w:tblGrid>
        <w:gridCol w:w="10224"/>
      </w:tblGrid>
      <w:tr>
        <w:tc>
          <w:tcPr>
            <w:tcW w:type="dxa" w:w="10224"/>
            <w:tcMar>
              <w:top w:w="125" w:type="dxa"/>
              <w:start w:w="230" w:type="dxa"/>
              <w:bottom w:w="150" w:type="dxa"/>
              <w:end w:w="230" w:type="dxa"/>
            </w:tcMar>
          </w:tcPr>
          <w:p>
            <w:pPr>
              <w:keepNext/>
              <w:spacing w:after="0" w:before="0" w:line="240" w:lineRule="auto"/>
            </w:pPr>
            <w:r>
              <w:rPr>
                <w:sz w:val="2"/>
              </w:rPr>
            </w:r>
          </w:p>
          <w:p>
            <w:pPr>
              <w:keepNext/>
              <w:spacing w:before="0" w:after="120" w:line="247" w:lineRule="auto"/>
            </w:pPr>
            <w:r>
              <w:rPr>
                <w:rFonts w:ascii="Arial" w:hAnsi="Arial"/>
                <w:b/>
                <w:color w:val="000000"/>
                <w:sz w:val="20"/>
              </w:rPr>
              <w:t>Target Companies:</w:t>
            </w:r>
          </w:p>
          <w:tbl>
            <w:tblPr>
              <w:tblW w:type="auto" w:w="0"/>
              <w:jc w:val="left"/>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6264"/>
              <w:gridCol w:w="3341"/>
            </w:tblGrid>
            <w:tr>
              <w:trPr>
                <w:tblHeader/>
              </w:trPr>
              <w:tc>
                <w:tcPr>
                  <w:tcW w:type="dxa" w:w="6264"/>
                  <w:shd w:fill="000000"/>
                  <w:tcMar>
                    <w:top w:w="65" w:type="dxa"/>
                    <w:start w:w="100" w:type="dxa"/>
                    <w:bottom w:w="65" w:type="dxa"/>
                    <w:end w:w="100" w:type="dxa"/>
                  </w:tcMar>
                </w:tcPr>
                <w:p>
                  <w:pPr>
                    <w:spacing w:after="0"/>
                  </w:pPr>
                  <w:r>
                    <w:rPr>
                      <w:b/>
                      <w:color w:val="FFFFFF"/>
                      <w:sz w:val="19"/>
                    </w:rPr>
                    <w:t>Company</w:t>
                  </w:r>
                </w:p>
              </w:tc>
              <w:tc>
                <w:tcPr>
                  <w:tcW w:type="dxa" w:w="3341"/>
                  <w:shd w:fill="000000"/>
                  <w:tcMar>
                    <w:top w:w="65" w:type="dxa"/>
                    <w:start w:w="100" w:type="dxa"/>
                    <w:bottom w:w="65" w:type="dxa"/>
                    <w:end w:w="100" w:type="dxa"/>
                  </w:tcMar>
                </w:tcPr>
                <w:p>
                  <w:pPr>
                    <w:spacing w:after="0"/>
                  </w:pPr>
                  <w:r>
                    <w:rPr>
                      <w:b/>
                      <w:color w:val="FFFFFF"/>
                      <w:sz w:val="19"/>
                    </w:rPr>
                    <w:t>Ticker</w:t>
                  </w:r>
                </w:p>
              </w:tc>
            </w:tr>
            <w:tr>
              <w:trPr>
                <w:cantSplit/>
              </w:trPr>
              <w:tc>
                <w:tcPr>
                  <w:tcW w:type="dxa" w:w="6264"/>
                  <w:tcMar>
                    <w:top w:w="65" w:type="dxa"/>
                    <w:start w:w="100" w:type="dxa"/>
                    <w:bottom w:w="65" w:type="dxa"/>
                    <w:end w:w="100" w:type="dxa"/>
                  </w:tcMar>
                  <w:vAlign w:val="center"/>
                </w:tcPr>
                <w:p>
                  <w:pPr>
                    <w:spacing w:after="0" w:line="247" w:lineRule="auto"/>
                  </w:pPr>
                  <w:r>
                    <w:rPr>
                      <w:sz w:val="19"/>
                    </w:rPr>
                    <w:t>Rockwell Automation (Singapore)</w:t>
                  </w:r>
                </w:p>
              </w:tc>
              <w:tc>
                <w:tcPr>
                  <w:tcW w:type="dxa" w:w="3341"/>
                  <w:tcMar>
                    <w:top w:w="65" w:type="dxa"/>
                    <w:start w:w="100" w:type="dxa"/>
                    <w:bottom w:w="65" w:type="dxa"/>
                    <w:end w:w="100" w:type="dxa"/>
                  </w:tcMar>
                  <w:vAlign w:val="center"/>
                </w:tcPr>
                <w:p>
                  <w:pPr>
                    <w:spacing w:after="0" w:line="247" w:lineRule="auto"/>
                  </w:pPr>
                  <w:r>
                    <w:rPr>
                      <w:sz w:val="19"/>
                    </w:rPr>
                    <w:t>ROK (NYSE)</w:t>
                  </w:r>
                </w:p>
              </w:tc>
            </w:tr>
            <w:tr>
              <w:trPr>
                <w:cantSplit/>
              </w:trPr>
              <w:tc>
                <w:tcPr>
                  <w:tcW w:type="dxa" w:w="6264"/>
                  <w:tcMar>
                    <w:top w:w="65" w:type="dxa"/>
                    <w:start w:w="100" w:type="dxa"/>
                    <w:bottom w:w="65" w:type="dxa"/>
                    <w:end w:w="100" w:type="dxa"/>
                  </w:tcMar>
                  <w:vAlign w:val="center"/>
                </w:tcPr>
                <w:p>
                  <w:pPr>
                    <w:spacing w:after="0" w:line="247" w:lineRule="auto"/>
                  </w:pPr>
                  <w:r>
                    <w:rPr>
                      <w:sz w:val="19"/>
                    </w:rPr>
                    <w:t>WuXi (entity and site to be confirmed)</w:t>
                  </w:r>
                </w:p>
              </w:tc>
              <w:tc>
                <w:tcPr>
                  <w:tcW w:type="dxa" w:w="3341"/>
                  <w:tcMar>
                    <w:top w:w="65" w:type="dxa"/>
                    <w:start w:w="100" w:type="dxa"/>
                    <w:bottom w:w="65" w:type="dxa"/>
                    <w:end w:w="100" w:type="dxa"/>
                  </w:tcMar>
                  <w:vAlign w:val="center"/>
                </w:tcPr>
                <w:p>
                  <w:pPr>
                    <w:spacing w:after="0" w:line="247" w:lineRule="auto"/>
                  </w:pPr>
                  <w:r>
                    <w:rPr>
                      <w:sz w:val="19"/>
                    </w:rPr>
                    <w:t>To be confirmed</w:t>
                  </w:r>
                </w:p>
              </w:tc>
            </w:tr>
            <w:tr>
              <w:trPr>
                <w:cantSplit/>
              </w:trPr>
              <w:tc>
                <w:tcPr>
                  <w:tcW w:type="dxa" w:w="6264"/>
                  <w:tcMar>
                    <w:top w:w="65" w:type="dxa"/>
                    <w:start w:w="100" w:type="dxa"/>
                    <w:bottom w:w="65" w:type="dxa"/>
                    <w:end w:w="100" w:type="dxa"/>
                  </w:tcMar>
                  <w:vAlign w:val="center"/>
                </w:tcPr>
                <w:p>
                  <w:pPr>
                    <w:spacing w:after="0" w:line="247" w:lineRule="auto"/>
                  </w:pPr>
                  <w:r>
                    <w:rPr>
                      <w:sz w:val="19"/>
                    </w:rPr>
                    <w:t>Two additional biotech facilities in Shanghai</w:t>
                  </w:r>
                </w:p>
              </w:tc>
              <w:tc>
                <w:tcPr>
                  <w:tcW w:type="dxa" w:w="3341"/>
                  <w:tcMar>
                    <w:top w:w="65" w:type="dxa"/>
                    <w:start w:w="100" w:type="dxa"/>
                    <w:bottom w:w="65" w:type="dxa"/>
                    <w:end w:w="100" w:type="dxa"/>
                  </w:tcMar>
                  <w:vAlign w:val="center"/>
                </w:tcPr>
                <w:p>
                  <w:pPr>
                    <w:spacing w:after="0" w:line="247" w:lineRule="auto"/>
                  </w:pPr>
                  <w:r>
                    <w:rPr>
                      <w:sz w:val="19"/>
                    </w:rPr>
                    <w:t>To be confirmed</w:t>
                  </w:r>
                </w:p>
              </w:tc>
            </w:tr>
          </w:tbl>
          <w:p/>
          <w:p>
            <w:pPr>
              <w:keepNext/>
              <w:spacing w:before="200" w:after="120" w:line="247" w:lineRule="auto"/>
            </w:pPr>
            <w:r>
              <w:rPr>
                <w:rFonts w:ascii="Arial" w:hAnsi="Arial"/>
                <w:b/>
                <w:color w:val="000000"/>
                <w:sz w:val="20"/>
              </w:rPr>
              <w:t>Detailed Agenda:</w:t>
            </w:r>
          </w:p>
          <w:tbl>
            <w:tblPr>
              <w:tblW w:type="auto" w:w="0"/>
              <w:jc w:val="left"/>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016"/>
              <w:gridCol w:w="2304"/>
              <w:gridCol w:w="5285"/>
            </w:tblGrid>
            <w:tr>
              <w:trPr>
                <w:tblHeader/>
              </w:trPr>
              <w:tc>
                <w:tcPr>
                  <w:tcW w:type="dxa" w:w="2016"/>
                  <w:shd w:fill="000000"/>
                  <w:tcMar>
                    <w:top w:w="65" w:type="dxa"/>
                    <w:start w:w="100" w:type="dxa"/>
                    <w:bottom w:w="65" w:type="dxa"/>
                    <w:end w:w="100" w:type="dxa"/>
                  </w:tcMar>
                </w:tcPr>
                <w:p>
                  <w:pPr>
                    <w:spacing w:after="0"/>
                  </w:pPr>
                  <w:r>
                    <w:rPr>
                      <w:b/>
                      <w:color w:val="FFFFFF"/>
                      <w:sz w:val="19"/>
                    </w:rPr>
                    <w:t>Date</w:t>
                  </w:r>
                </w:p>
              </w:tc>
              <w:tc>
                <w:tcPr>
                  <w:tcW w:type="dxa" w:w="2304"/>
                  <w:shd w:fill="000000"/>
                  <w:tcMar>
                    <w:top w:w="65" w:type="dxa"/>
                    <w:start w:w="100" w:type="dxa"/>
                    <w:bottom w:w="65" w:type="dxa"/>
                    <w:end w:w="100" w:type="dxa"/>
                  </w:tcMar>
                </w:tcPr>
                <w:p>
                  <w:pPr>
                    <w:spacing w:after="0"/>
                  </w:pPr>
                  <w:r>
                    <w:rPr>
                      <w:b/>
                      <w:color w:val="FFFFFF"/>
                      <w:sz w:val="19"/>
                    </w:rPr>
                    <w:t>Location</w:t>
                  </w:r>
                </w:p>
              </w:tc>
              <w:tc>
                <w:tcPr>
                  <w:tcW w:type="dxa" w:w="5285"/>
                  <w:shd w:fill="000000"/>
                  <w:tcMar>
                    <w:top w:w="65" w:type="dxa"/>
                    <w:start w:w="100" w:type="dxa"/>
                    <w:bottom w:w="65" w:type="dxa"/>
                    <w:end w:w="100" w:type="dxa"/>
                  </w:tcMar>
                </w:tcPr>
                <w:p>
                  <w:pPr>
                    <w:spacing w:after="0"/>
                  </w:pPr>
                  <w:r>
                    <w:rPr>
                      <w:b/>
                      <w:color w:val="FFFFFF"/>
                      <w:sz w:val="19"/>
                    </w:rPr>
                    <w:t>Agenda</w:t>
                  </w:r>
                </w:p>
              </w:tc>
            </w:tr>
            <w:tr>
              <w:trPr>
                <w:cantSplit/>
              </w:trPr>
              <w:tc>
                <w:tcPr>
                  <w:tcW w:type="dxa" w:w="2016"/>
                  <w:tcMar>
                    <w:top w:w="65" w:type="dxa"/>
                    <w:start w:w="100" w:type="dxa"/>
                    <w:bottom w:w="65" w:type="dxa"/>
                    <w:end w:w="100" w:type="dxa"/>
                  </w:tcMar>
                  <w:vAlign w:val="center"/>
                </w:tcPr>
                <w:p>
                  <w:pPr>
                    <w:spacing w:after="0" w:line="247" w:lineRule="auto"/>
                  </w:pPr>
                  <w:r>
                    <w:rPr>
                      <w:sz w:val="19"/>
                    </w:rPr>
                    <w:t>Tue, 19 Jan 2027</w:t>
                  </w:r>
                </w:p>
              </w:tc>
              <w:tc>
                <w:tcPr>
                  <w:tcW w:type="dxa" w:w="2304"/>
                  <w:tcMar>
                    <w:top w:w="65" w:type="dxa"/>
                    <w:start w:w="100" w:type="dxa"/>
                    <w:bottom w:w="65" w:type="dxa"/>
                    <w:end w:w="100" w:type="dxa"/>
                  </w:tcMar>
                  <w:vAlign w:val="center"/>
                </w:tcPr>
                <w:p>
                  <w:pPr>
                    <w:spacing w:after="0" w:line="247" w:lineRule="auto"/>
                  </w:pPr>
                  <w:r>
                    <w:rPr>
                      <w:sz w:val="19"/>
                    </w:rPr>
                    <w:t>Singapore</w:t>
                  </w:r>
                </w:p>
              </w:tc>
              <w:tc>
                <w:tcPr>
                  <w:tcW w:type="dxa" w:w="5285"/>
                  <w:tcMar>
                    <w:top w:w="65" w:type="dxa"/>
                    <w:start w:w="100" w:type="dxa"/>
                    <w:bottom w:w="65" w:type="dxa"/>
                    <w:end w:w="100" w:type="dxa"/>
                  </w:tcMar>
                  <w:vAlign w:val="center"/>
                </w:tcPr>
                <w:p>
                  <w:pPr>
                    <w:spacing w:after="0" w:line="247" w:lineRule="auto"/>
                  </w:pPr>
                  <w:r>
                    <w:rPr>
                      <w:sz w:val="19"/>
                    </w:rPr>
                    <w:t>Rockwell Singapore Dark AI Factory visit.</w:t>
                  </w:r>
                </w:p>
              </w:tc>
            </w:tr>
            <w:tr>
              <w:trPr>
                <w:cantSplit/>
              </w:trPr>
              <w:tc>
                <w:tcPr>
                  <w:tcW w:type="dxa" w:w="2016"/>
                  <w:tcMar>
                    <w:top w:w="65" w:type="dxa"/>
                    <w:start w:w="100" w:type="dxa"/>
                    <w:bottom w:w="65" w:type="dxa"/>
                    <w:end w:w="100" w:type="dxa"/>
                  </w:tcMar>
                  <w:vAlign w:val="center"/>
                </w:tcPr>
                <w:p>
                  <w:pPr>
                    <w:spacing w:after="0" w:line="247" w:lineRule="auto"/>
                  </w:pPr>
                  <w:r>
                    <w:rPr>
                      <w:sz w:val="19"/>
                    </w:rPr>
                    <w:t>Wed, 20 Jan 2027</w:t>
                  </w:r>
                </w:p>
              </w:tc>
              <w:tc>
                <w:tcPr>
                  <w:tcW w:type="dxa" w:w="2304"/>
                  <w:tcMar>
                    <w:top w:w="65" w:type="dxa"/>
                    <w:start w:w="100" w:type="dxa"/>
                    <w:bottom w:w="65" w:type="dxa"/>
                    <w:end w:w="100" w:type="dxa"/>
                  </w:tcMar>
                  <w:vAlign w:val="center"/>
                </w:tcPr>
                <w:p>
                  <w:pPr>
                    <w:spacing w:after="0" w:line="247" w:lineRule="auto"/>
                  </w:pPr>
                  <w:r>
                    <w:rPr>
                      <w:sz w:val="19"/>
                    </w:rPr>
                    <w:t>Singapore → Shanghai</w:t>
                  </w:r>
                </w:p>
              </w:tc>
              <w:tc>
                <w:tcPr>
                  <w:tcW w:type="dxa" w:w="5285"/>
                  <w:tcMar>
                    <w:top w:w="65" w:type="dxa"/>
                    <w:start w:w="100" w:type="dxa"/>
                    <w:bottom w:w="65" w:type="dxa"/>
                    <w:end w:w="100" w:type="dxa"/>
                  </w:tcMar>
                  <w:vAlign w:val="center"/>
                </w:tcPr>
                <w:p>
                  <w:pPr>
                    <w:spacing w:after="0" w:line="247" w:lineRule="auto"/>
                  </w:pPr>
                  <w:r>
                    <w:rPr>
                      <w:sz w:val="19"/>
                    </w:rPr>
                    <w:t>Expert discussion, followed by travel to Shanghai.</w:t>
                  </w:r>
                </w:p>
              </w:tc>
            </w:tr>
            <w:tr>
              <w:trPr>
                <w:cantSplit/>
              </w:trPr>
              <w:tc>
                <w:tcPr>
                  <w:tcW w:type="dxa" w:w="2016"/>
                  <w:tcMar>
                    <w:top w:w="65" w:type="dxa"/>
                    <w:start w:w="100" w:type="dxa"/>
                    <w:bottom w:w="65" w:type="dxa"/>
                    <w:end w:w="100" w:type="dxa"/>
                  </w:tcMar>
                  <w:vAlign w:val="center"/>
                </w:tcPr>
                <w:p>
                  <w:pPr>
                    <w:spacing w:after="0" w:line="247" w:lineRule="auto"/>
                  </w:pPr>
                  <w:r>
                    <w:rPr>
                      <w:sz w:val="19"/>
                    </w:rPr>
                    <w:t>Thu, 21 Jan 2027</w:t>
                  </w:r>
                </w:p>
              </w:tc>
              <w:tc>
                <w:tcPr>
                  <w:tcW w:type="dxa" w:w="2304"/>
                  <w:tcMar>
                    <w:top w:w="65" w:type="dxa"/>
                    <w:start w:w="100" w:type="dxa"/>
                    <w:bottom w:w="65" w:type="dxa"/>
                    <w:end w:w="100" w:type="dxa"/>
                  </w:tcMar>
                  <w:vAlign w:val="center"/>
                </w:tcPr>
                <w:p>
                  <w:pPr>
                    <w:spacing w:after="0" w:line="247" w:lineRule="auto"/>
                  </w:pPr>
                  <w:r>
                    <w:rPr>
                      <w:sz w:val="19"/>
                    </w:rPr>
                    <w:t>Shanghai</w:t>
                  </w:r>
                </w:p>
              </w:tc>
              <w:tc>
                <w:tcPr>
                  <w:tcW w:type="dxa" w:w="5285"/>
                  <w:tcMar>
                    <w:top w:w="65" w:type="dxa"/>
                    <w:start w:w="100" w:type="dxa"/>
                    <w:bottom w:w="65" w:type="dxa"/>
                    <w:end w:w="100" w:type="dxa"/>
                  </w:tcMar>
                  <w:vAlign w:val="center"/>
                </w:tcPr>
                <w:p>
                  <w:pPr>
                    <w:spacing w:after="0" w:line="247" w:lineRule="auto"/>
                  </w:pPr>
                  <w:r>
                    <w:rPr>
                      <w:sz w:val="19"/>
                    </w:rPr>
                    <w:t>WuXi site visit.</w:t>
                  </w:r>
                </w:p>
              </w:tc>
            </w:tr>
            <w:tr>
              <w:trPr>
                <w:cantSplit/>
              </w:trPr>
              <w:tc>
                <w:tcPr>
                  <w:tcW w:type="dxa" w:w="2016"/>
                  <w:tcMar>
                    <w:top w:w="65" w:type="dxa"/>
                    <w:start w:w="100" w:type="dxa"/>
                    <w:bottom w:w="65" w:type="dxa"/>
                    <w:end w:w="100" w:type="dxa"/>
                  </w:tcMar>
                  <w:vAlign w:val="center"/>
                </w:tcPr>
                <w:p>
                  <w:pPr>
                    <w:spacing w:after="0" w:line="247" w:lineRule="auto"/>
                  </w:pPr>
                  <w:r>
                    <w:rPr>
                      <w:sz w:val="19"/>
                    </w:rPr>
                    <w:t>Fri, 22 Jan 2027</w:t>
                  </w:r>
                </w:p>
              </w:tc>
              <w:tc>
                <w:tcPr>
                  <w:tcW w:type="dxa" w:w="2304"/>
                  <w:tcMar>
                    <w:top w:w="65" w:type="dxa"/>
                    <w:start w:w="100" w:type="dxa"/>
                    <w:bottom w:w="65" w:type="dxa"/>
                    <w:end w:w="100" w:type="dxa"/>
                  </w:tcMar>
                  <w:vAlign w:val="center"/>
                </w:tcPr>
                <w:p>
                  <w:pPr>
                    <w:spacing w:after="0" w:line="247" w:lineRule="auto"/>
                  </w:pPr>
                  <w:r>
                    <w:rPr>
                      <w:sz w:val="19"/>
                    </w:rPr>
                    <w:t>Shanghai</w:t>
                  </w:r>
                </w:p>
              </w:tc>
              <w:tc>
                <w:tcPr>
                  <w:tcW w:type="dxa" w:w="5285"/>
                  <w:tcMar>
                    <w:top w:w="65" w:type="dxa"/>
                    <w:start w:w="100" w:type="dxa"/>
                    <w:bottom w:w="65" w:type="dxa"/>
                    <w:end w:w="100" w:type="dxa"/>
                  </w:tcMar>
                  <w:vAlign w:val="center"/>
                </w:tcPr>
                <w:p>
                  <w:pPr>
                    <w:spacing w:after="0" w:line="247" w:lineRule="auto"/>
                  </w:pPr>
                  <w:r>
                    <w:rPr>
                      <w:sz w:val="19"/>
                    </w:rPr>
                    <w:t>Visits to two additional biotech facilities.</w:t>
                  </w:r>
                </w:p>
              </w:tc>
            </w:tr>
            <w:tr>
              <w:trPr>
                <w:cantSplit/>
              </w:trPr>
              <w:tc>
                <w:tcPr>
                  <w:tcW w:type="dxa" w:w="2016"/>
                  <w:tcMar>
                    <w:top w:w="65" w:type="dxa"/>
                    <w:start w:w="100" w:type="dxa"/>
                    <w:bottom w:w="65" w:type="dxa"/>
                    <w:end w:w="100" w:type="dxa"/>
                  </w:tcMar>
                  <w:vAlign w:val="center"/>
                </w:tcPr>
                <w:p>
                  <w:pPr>
                    <w:spacing w:after="0" w:line="247" w:lineRule="auto"/>
                  </w:pPr>
                  <w:r>
                    <w:rPr>
                      <w:sz w:val="19"/>
                    </w:rPr>
                    <w:t>Fri, 22 Jan 2027</w:t>
                    <w:br/>
                    <w:t>Evening</w:t>
                  </w:r>
                </w:p>
              </w:tc>
              <w:tc>
                <w:tcPr>
                  <w:tcW w:type="dxa" w:w="2304"/>
                  <w:tcMar>
                    <w:top w:w="65" w:type="dxa"/>
                    <w:start w:w="100" w:type="dxa"/>
                    <w:bottom w:w="65" w:type="dxa"/>
                    <w:end w:w="100" w:type="dxa"/>
                  </w:tcMar>
                  <w:vAlign w:val="center"/>
                </w:tcPr>
                <w:p>
                  <w:pPr>
                    <w:spacing w:after="0" w:line="247" w:lineRule="auto"/>
                  </w:pPr>
                  <w:r>
                    <w:rPr>
                      <w:sz w:val="19"/>
                    </w:rPr>
                    <w:t>Shanghai</w:t>
                  </w:r>
                </w:p>
              </w:tc>
              <w:tc>
                <w:tcPr>
                  <w:tcW w:type="dxa" w:w="5285"/>
                  <w:tcMar>
                    <w:top w:w="65" w:type="dxa"/>
                    <w:start w:w="100" w:type="dxa"/>
                    <w:bottom w:w="65" w:type="dxa"/>
                    <w:end w:w="100" w:type="dxa"/>
                  </w:tcMar>
                  <w:vAlign w:val="center"/>
                </w:tcPr>
                <w:p>
                  <w:pPr>
                    <w:spacing w:after="0" w:line="247" w:lineRule="auto"/>
                  </w:pPr>
                  <w:r>
                    <w:rPr>
                      <w:sz w:val="19"/>
                    </w:rPr>
                    <w:t>Client return travel.</w:t>
                  </w:r>
                </w:p>
              </w:tc>
            </w:tr>
          </w:tbl>
          <w:p/>
          <w:p>
            <w:pPr>
              <w:keepNext w:val="0"/>
              <w:spacing w:before="120" w:after="120" w:line="247" w:lineRule="auto"/>
              <w:jc w:val="center"/>
            </w:pPr>
            <w:r>
              <w:rPr>
                <w:rFonts w:ascii="Arial" w:hAnsi="Arial"/>
                <w:b/>
                <w:color w:val="000000"/>
                <w:sz w:val="20"/>
              </w:rPr>
              <w:t>Agenda subject to change.</w:t>
            </w:r>
          </w:p>
          <w:p>
            <w:pPr>
              <w:keepNext w:val="0"/>
              <w:spacing w:before="0" w:after="180" w:line="247" w:lineRule="auto"/>
            </w:pPr>
            <w:r>
              <w:rPr>
                <w:rFonts w:ascii="Arial" w:hAnsi="Arial"/>
                <w:b w:val="0"/>
                <w:color w:val="000000"/>
                <w:sz w:val="18"/>
              </w:rPr>
              <w:t>Meeting times, the expert speaker, the WuXi entity/site and the two additional biotech facilities are to be confirmed. Flight, hotel and local-transfer arrangements are to be confirmed separately.</w:t>
            </w:r>
          </w:p>
          <w:p>
            <w:pPr>
              <w:keepNext/>
              <w:spacing w:before="0" w:after="60" w:line="247" w:lineRule="auto"/>
            </w:pPr>
            <w:r>
              <w:rPr>
                <w:rFonts w:ascii="Arial" w:hAnsi="Arial"/>
                <w:b/>
                <w:color w:val="000000"/>
                <w:sz w:val="20"/>
              </w:rPr>
              <w:t>Tour Coordination:</w:t>
            </w:r>
          </w:p>
          <w:p>
            <w:pPr>
              <w:keepNext w:val="0"/>
              <w:spacing w:before="0" w:after="60" w:line="247" w:lineRule="auto"/>
            </w:pPr>
            <w:r>
              <w:rPr>
                <w:rFonts w:ascii="Arial" w:hAnsi="Arial"/>
                <w:b w:val="0"/>
                <w:color w:val="000000"/>
                <w:sz w:val="18"/>
              </w:rPr>
            </w:r>
            <w:r>
              <w:t xml:space="preserve">Ranjitha Shetty: </w:t>
            </w:r>
            <w:hyperlink r:id="rId10">
              <w:r>
                <w:rPr>
                  <w:color w:val="2B627D"/>
                  <w:sz w:val="19"/>
                  <w:rFonts w:ascii="Arial" w:hAnsi="Arial"/>
                  <w:u w:val="single"/>
                </w:rPr>
                <w:t>ranjitha.shetty@bernsteinsg.com</w:t>
              </w:r>
            </w:hyperlink>
          </w:p>
          <w:p>
            <w:pPr>
              <w:keepNext w:val="0"/>
              <w:spacing w:before="0" w:after="180" w:line="247" w:lineRule="auto"/>
            </w:pPr>
            <w:r>
              <w:rPr>
                <w:rFonts w:ascii="Arial" w:hAnsi="Arial"/>
                <w:b w:val="0"/>
                <w:color w:val="000000"/>
                <w:sz w:val="18"/>
              </w:rPr>
            </w:r>
            <w:r>
              <w:t xml:space="preserve">Bernstein AP Investor Access: </w:t>
            </w:r>
            <w:hyperlink r:id="rId9">
              <w:r>
                <w:rPr>
                  <w:color w:val="2B627D"/>
                  <w:sz w:val="19"/>
                  <w:rFonts w:ascii="Arial" w:hAnsi="Arial"/>
                  <w:u w:val="single"/>
                </w:rPr>
                <w:t>BernsteinAPInvestorAccess@bernsteinsg.com</w:t>
              </w:r>
            </w:hyperlink>
          </w:p>
          <w:p>
            <w:pPr>
              <w:keepNext/>
              <w:spacing w:before="0" w:after="60" w:line="247" w:lineRule="auto"/>
            </w:pPr>
            <w:r>
              <w:rPr>
                <w:rFonts w:ascii="Arial" w:hAnsi="Arial"/>
                <w:b/>
                <w:color w:val="000000"/>
                <w:sz w:val="20"/>
              </w:rPr>
              <w:t>Suggested Reading:</w:t>
            </w:r>
          </w:p>
          <w:p>
            <w:pPr>
              <w:keepNext w:val="0"/>
              <w:spacing w:before="0" w:after="80" w:line="247" w:lineRule="auto"/>
            </w:pPr>
            <w:r>
              <w:rPr>
                <w:rFonts w:ascii="Arial" w:hAnsi="Arial"/>
                <w:b w:val="0"/>
                <w:color w:val="000000"/>
                <w:sz w:val="18"/>
              </w:rPr>
            </w:r>
            <w:r>
              <w:t xml:space="preserve">25 Aug 2026 - </w:t>
            </w:r>
            <w:hyperlink r:id="rId11">
              <w:r>
                <w:rPr>
                  <w:color w:val="2B627D"/>
                  <w:sz w:val="19"/>
                  <w:rFonts w:ascii="Arial" w:hAnsi="Arial"/>
                  <w:u w:val="single"/>
                </w:rPr>
                <w:t>India Healthcare: Beyond Pills - Could Drug Delivery Platforms Be Indian Biopharma’s Next ₹1 Trillion Revenue Pool?</w:t>
              </w:r>
            </w:hyperlink>
          </w:p>
          <w:p>
            <w:pPr>
              <w:keepNext w:val="0"/>
              <w:spacing w:before="0" w:after="100" w:line="247" w:lineRule="auto"/>
            </w:pPr>
            <w:r>
              <w:rPr>
                <w:rFonts w:ascii="Arial" w:hAnsi="Arial"/>
                <w:b w:val="0"/>
                <w:color w:val="000000"/>
                <w:sz w:val="18"/>
              </w:rPr>
            </w:r>
            <w:r>
              <w:t xml:space="preserve">21 May 2026 - </w:t>
            </w:r>
            <w:hyperlink r:id="rId12">
              <w:r>
                <w:rPr>
                  <w:color w:val="2B627D"/>
                  <w:sz w:val="19"/>
                  <w:rFonts w:ascii="Arial" w:hAnsi="Arial"/>
                  <w:u w:val="single"/>
                </w:rPr>
                <w:t>India Healthcare: Innovation Power Decade: Rainmakers - initiating on six stocks with a positive sector view</w:t>
              </w:r>
            </w:hyperlink>
          </w:p>
          <w:p>
            <w:pPr>
              <w:keepNext w:val="0"/>
              <w:spacing w:before="0" w:after="200" w:line="247" w:lineRule="auto"/>
            </w:pPr>
            <w:r>
              <w:rPr>
                <w:rFonts w:ascii="Arial" w:hAnsi="Arial"/>
                <w:b/>
                <w:color w:val="000000"/>
                <w:sz w:val="16"/>
              </w:rPr>
              <w:t>Click on the title for the full report and important disclosures.</w:t>
            </w:r>
          </w:p>
          <w:p>
            <w:pPr>
              <w:keepNext w:val="0"/>
              <w:spacing w:before="0" w:after="160" w:line="247" w:lineRule="auto"/>
              <w:pBdr>
                <w:bottom w:val="dotted" w:sz="4" w:color="999999"/>
              </w:pBdr>
            </w:pPr>
            <w:r>
              <w:rPr>
                <w:rFonts w:ascii="Arial" w:hAnsi="Arial"/>
                <w:b w:val="0"/>
                <w:color w:val="000000"/>
                <w:sz w:val="20"/>
              </w:rPr>
            </w:r>
          </w:p>
          <w:p>
            <w:pPr>
              <w:keepNext/>
              <w:spacing w:before="0" w:after="120" w:line="247" w:lineRule="auto"/>
            </w:pPr>
            <w:r>
              <w:rPr>
                <w:rFonts w:ascii="Arial" w:hAnsi="Arial"/>
                <w:b/>
                <w:color w:val="000000"/>
                <w:sz w:val="20"/>
              </w:rPr>
              <w:t>Analyst Bio:</w:t>
            </w:r>
          </w:p>
          <w:tbl>
            <w:tblPr>
              <w:tblW w:type="auto" w:w="0"/>
              <w:tblLayout w:type="fixed"/>
              <w:tblLook w:firstColumn="1" w:firstRow="1" w:lastColumn="0" w:lastRow="0" w:noHBand="0" w:noVBand="1" w:val="04A0"/>
              <w:tblBorders>
                <w:top w:val="nil" w:sz="0" w:color="FFFFFF"/>
                <w:left w:val="nil" w:sz="0" w:color="FFFFFF"/>
                <w:bottom w:val="nil" w:sz="0" w:color="FFFFFF"/>
                <w:right w:val="nil" w:sz="0" w:color="FFFFFF"/>
                <w:insideH w:val="nil" w:sz="0" w:color="FFFFFF"/>
                <w:insideV w:val="nil" w:sz="0" w:color="FFFFFF"/>
              </w:tblBorders>
            </w:tblPr>
            <w:tblGrid>
              <w:gridCol w:w="2088"/>
              <w:gridCol w:w="7517"/>
            </w:tblGrid>
            <w:tr>
              <w:tc>
                <w:tcPr>
                  <w:tcW w:type="dxa" w:w="5112"/>
                  <w:tcMar>
                    <w:top w:w="70" w:type="dxa"/>
                    <w:start w:w="80" w:type="dxa"/>
                    <w:bottom w:w="70" w:type="dxa"/>
                    <w:end w:w="100" w:type="dxa"/>
                  </w:tcMar>
                  <w:shd w:fill="EEF3F6"/>
                </w:tcPr>
                <w:p>
                  <w:pPr>
                    <w:keepNext/>
                    <w:spacing w:after="0" w:before="0" w:line="240" w:lineRule="auto"/>
                  </w:pPr>
                  <w:r>
                    <w:rPr>
                      <w:sz w:val="2"/>
                    </w:rPr>
                  </w:r>
                </w:p>
                <w:p>
                  <w:pPr>
                    <w:keepNext w:val="0"/>
                    <w:spacing w:before="0" w:after="140" w:line="247" w:lineRule="auto"/>
                  </w:pPr>
                  <w:r>
                    <w:rPr>
                      <w:rFonts w:ascii="Arial" w:hAnsi="Arial"/>
                      <w:b/>
                      <w:color w:val="07314B"/>
                      <w:sz w:val="22"/>
                    </w:rPr>
                    <w:t>Nandan</w:t>
                    <w:br/>
                    <w:t>Kulkarni</w:t>
                  </w:r>
                </w:p>
                <w:p>
                  <w:pPr>
                    <w:keepNext w:val="0"/>
                    <w:spacing w:before="0" w:after="0" w:line="247" w:lineRule="auto"/>
                  </w:pPr>
                  <w:r>
                    <w:rPr>
                      <w:rFonts w:ascii="Arial" w:hAnsi="Arial"/>
                      <w:b w:val="0"/>
                      <w:color w:val="07314B"/>
                      <w:sz w:val="18"/>
                    </w:rPr>
                    <w:t>Senior Research Analyst</w:t>
                    <w:br/>
                    <w:t>India Healthcare</w:t>
                  </w:r>
                </w:p>
              </w:tc>
              <w:tc>
                <w:tcPr>
                  <w:tcW w:type="dxa" w:w="5112"/>
                  <w:tcMar>
                    <w:top w:w="0" w:type="dxa"/>
                    <w:start w:w="150" w:type="dxa"/>
                    <w:bottom w:w="0" w:type="dxa"/>
                    <w:end w:w="0" w:type="dxa"/>
                  </w:tcMar>
                </w:tcPr>
                <w:p>
                  <w:pPr>
                    <w:keepNext/>
                    <w:spacing w:after="0" w:before="0" w:line="240" w:lineRule="auto"/>
                  </w:pPr>
                  <w:r>
                    <w:rPr>
                      <w:sz w:val="2"/>
                    </w:rPr>
                  </w:r>
                </w:p>
                <w:p>
                  <w:pPr>
                    <w:keepNext w:val="0"/>
                    <w:spacing w:before="0" w:after="100" w:line="247" w:lineRule="auto"/>
                  </w:pPr>
                  <w:r>
                    <w:rPr>
                      <w:rFonts w:ascii="Arial" w:hAnsi="Arial"/>
                      <w:b w:val="0"/>
                      <w:color w:val="000000"/>
                      <w:sz w:val="18"/>
                    </w:rPr>
                    <w:t>Nandan Kulkarni covers India Healthcare as a Senior Research Analyst at Bernstein. His prior career includes over ten years at Cipla, with responsibility for its MedTech business, and an earlier consulting role at McKinsey. His qualifications include bachelor’s and master’s degrees in Aerospace Engineering from IIT Bombay, an MBA from Olin Business School, and a Cost and Management Accountant qualification.</w:t>
                  </w:r>
                </w:p>
                <w:p>
                  <w:pPr>
                    <w:keepNext w:val="0"/>
                    <w:spacing w:before="0" w:after="0" w:line="247" w:lineRule="auto"/>
                  </w:pPr>
                  <w:r>
                    <w:rPr>
                      <w:rFonts w:ascii="Arial" w:hAnsi="Arial"/>
                      <w:b w:val="0"/>
                      <w:color w:val="000000"/>
                      <w:sz w:val="16"/>
                    </w:rPr>
                  </w:r>
                  <w:r>
                    <w:t xml:space="preserve">Bio source: </w:t>
                  </w:r>
                  <w:hyperlink r:id="rId13">
                    <w:r>
                      <w:rPr>
                        <w:color w:val="2B627D"/>
                        <w:sz w:val="16"/>
                        <w:rFonts w:ascii="Arial" w:hAnsi="Arial"/>
                        <w:u w:val="single"/>
                      </w:rPr>
                      <w:t>Bernstein Research</w:t>
                    </w:r>
                  </w:hyperlink>
                </w:p>
              </w:tc>
            </w:tr>
          </w:tbl>
          <w:p/>
        </w:tc>
      </w:tr>
    </w:tbl>
    <w:sectPr w:rsidR="00FC693F" w:rsidRPr="0006063C" w:rsidSect="00034616">
      <w:pgSz w:w="11909" w:h="16834"/>
      <w:pgMar w:top="792" w:right="835" w:bottom="792" w:left="835"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eastAsia="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BernsteinAPInvestorAccess@bernsteinsg.com" TargetMode="External"/><Relationship Id="rId10" Type="http://schemas.openxmlformats.org/officeDocument/2006/relationships/hyperlink" Target="mailto:ranjitha.shetty@bernsteinsg.com" TargetMode="External"/><Relationship Id="rId11" Type="http://schemas.openxmlformats.org/officeDocument/2006/relationships/hyperlink" Target="https://bernstein-autonomous.bluematrix.com/docs/html/860052c0-ce82-4ec5-9b50-0bc03fe03f9e.html" TargetMode="External"/><Relationship Id="rId12" Type="http://schemas.openxmlformats.org/officeDocument/2006/relationships/hyperlink" Target="https://bernstein-autonomous.bluematrix.com/docs/html/96667fdb-81b3-47b0-9383-7908f8098e6f.html" TargetMode="External"/><Relationship Id="rId13" Type="http://schemas.openxmlformats.org/officeDocument/2006/relationships/hyperlink" Target="https://www.bernsteinresearch.com/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Bernstein India Healthcare &amp; Pharma Tour 2027</dc:title>
  <dc:subject>Invitation-only tour | 19–22 January 2027 | Singapore &amp; Shanghai</dc:subject>
  <dc:creator>Bernstein India Healthcare</dc:creator>
  <cp:keywords>India Healthcare, Pharma AI, Dark Factory, CDMO, January 2027</cp:keywords>
  <dc:description>Uses the supplied China-tour format and India-tour plan. Year follows the January 2027 email subject; weekdays corrected. Client attendees omitted. Unknown details marked to be confirmed.</dc:description>
  <cp:lastModifiedBy/>
  <cp:revision>1</cp:revision>
  <dcterms:created xsi:type="dcterms:W3CDTF">2013-12-23T23:15:00Z</dcterms:created>
  <dcterms:modified xsi:type="dcterms:W3CDTF">2013-12-23T23:15:00Z</dcterms:modified>
  <cp:category/>
</cp:coreProperties>
</file>