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Arial" w:hAnsi="Arial"/>
          <w:b/>
          <w:color w:val="0F6B78"/>
          <w:sz w:val="26"/>
        </w:rPr>
        <w:t>AUROBINDO PHARMA</w:t>
      </w:r>
    </w:p>
    <w:p>
      <w:pPr>
        <w:pStyle w:val="Title"/>
      </w:pPr>
      <w:r>
        <w:t>The earnings stack is starting to convert</w:t>
      </w:r>
    </w:p>
    <w:p>
      <w:pPr>
        <w:spacing w:after="320"/>
      </w:pPr>
      <w:r>
        <w:rPr>
          <w:rFonts w:ascii="Arial" w:hAnsi="Arial"/>
          <w:b/>
          <w:color w:val="0F6B78"/>
          <w:sz w:val="30"/>
        </w:rPr>
        <w:t>Upgrade to OUTPERFORM from Market-Perform</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0F6B78"/>
          </w:tcPr>
          <w:p>
            <w:pPr>
              <w:jc w:val="center"/>
            </w:pPr>
            <w:r/>
            <w:r>
              <w:rPr>
                <w:rFonts w:ascii="Arial" w:hAnsi="Arial"/>
                <w:b/>
                <w:color w:val="FFFFFF"/>
                <w:sz w:val="18"/>
              </w:rPr>
              <w:t>Rating</w:t>
            </w:r>
          </w:p>
        </w:tc>
        <w:tc>
          <w:tcPr>
            <w:tcW w:type="dxa" w:w="1680"/>
            <w:vAlign w:val="center"/>
            <w:shd w:fill="0F6B78"/>
          </w:tcPr>
          <w:p>
            <w:pPr>
              <w:jc w:val="center"/>
            </w:pPr>
            <w:r/>
            <w:r>
              <w:rPr>
                <w:rFonts w:ascii="Arial" w:hAnsi="Arial"/>
                <w:b/>
                <w:color w:val="FFFFFF"/>
                <w:sz w:val="18"/>
              </w:rPr>
              <w:t>Price</w:t>
            </w:r>
          </w:p>
        </w:tc>
        <w:tc>
          <w:tcPr>
            <w:tcW w:type="dxa" w:w="1680"/>
            <w:vAlign w:val="center"/>
            <w:shd w:fill="0F6B78"/>
          </w:tcPr>
          <w:p>
            <w:pPr>
              <w:jc w:val="center"/>
            </w:pPr>
            <w:r/>
            <w:r>
              <w:rPr>
                <w:rFonts w:ascii="Arial" w:hAnsi="Arial"/>
                <w:b/>
                <w:color w:val="FFFFFF"/>
                <w:sz w:val="18"/>
              </w:rPr>
              <w:t>Target</w:t>
            </w:r>
          </w:p>
        </w:tc>
        <w:tc>
          <w:tcPr>
            <w:tcW w:type="dxa" w:w="1680"/>
            <w:vAlign w:val="center"/>
            <w:shd w:fill="0F6B78"/>
          </w:tcPr>
          <w:p>
            <w:pPr>
              <w:jc w:val="center"/>
            </w:pPr>
            <w:r/>
            <w:r>
              <w:rPr>
                <w:rFonts w:ascii="Arial" w:hAnsi="Arial"/>
                <w:b/>
                <w:color w:val="FFFFFF"/>
                <w:sz w:val="18"/>
              </w:rPr>
              <w:t>Upside</w:t>
            </w:r>
          </w:p>
        </w:tc>
        <w:tc>
          <w:tcPr>
            <w:tcW w:type="dxa" w:w="1680"/>
            <w:vAlign w:val="center"/>
            <w:shd w:fill="0F6B78"/>
          </w:tcPr>
          <w:p>
            <w:pPr>
              <w:jc w:val="center"/>
            </w:pPr>
            <w:r/>
            <w:r>
              <w:rPr>
                <w:rFonts w:ascii="Arial" w:hAnsi="Arial"/>
                <w:b/>
                <w:color w:val="FFFFFF"/>
                <w:sz w:val="18"/>
              </w:rPr>
              <w:t>FY29E EPS</w:t>
            </w:r>
          </w:p>
        </w:tc>
        <w:tc>
          <w:tcPr>
            <w:tcW w:type="dxa" w:w="1680"/>
            <w:vAlign w:val="center"/>
            <w:shd w:fill="0F6B78"/>
          </w:tcPr>
          <w:p>
            <w:pPr>
              <w:jc w:val="center"/>
            </w:pPr>
            <w:r/>
            <w:r>
              <w:rPr>
                <w:rFonts w:ascii="Arial" w:hAnsi="Arial"/>
                <w:b/>
                <w:color w:val="FFFFFF"/>
                <w:sz w:val="18"/>
              </w:rPr>
              <w:t>FY29E P/E</w:t>
            </w:r>
          </w:p>
        </w:tc>
      </w:tr>
      <w:tr>
        <w:tc>
          <w:tcPr>
            <w:tcW w:type="dxa" w:w="1680"/>
            <w:vAlign w:val="center"/>
          </w:tcPr>
          <w:p>
            <w:r/>
            <w:r>
              <w:rPr>
                <w:rFonts w:ascii="Arial" w:hAnsi="Arial"/>
                <w:b/>
                <w:sz w:val="18"/>
              </w:rPr>
              <w:t>OUTPERFORM</w:t>
            </w:r>
          </w:p>
        </w:tc>
        <w:tc>
          <w:tcPr>
            <w:tcW w:type="dxa" w:w="1680"/>
            <w:vAlign w:val="center"/>
          </w:tcPr>
          <w:p>
            <w:r/>
            <w:r>
              <w:rPr>
                <w:rFonts w:ascii="Arial" w:hAnsi="Arial"/>
                <w:b w:val="0"/>
                <w:sz w:val="18"/>
              </w:rPr>
              <w:t>₹1,686</w:t>
            </w:r>
          </w:p>
        </w:tc>
        <w:tc>
          <w:tcPr>
            <w:tcW w:type="dxa" w:w="1680"/>
            <w:vAlign w:val="center"/>
          </w:tcPr>
          <w:p>
            <w:r/>
            <w:r>
              <w:rPr>
                <w:rFonts w:ascii="Arial" w:hAnsi="Arial"/>
                <w:b w:val="0"/>
                <w:sz w:val="18"/>
              </w:rPr>
              <w:t>₹2,100</w:t>
            </w:r>
          </w:p>
        </w:tc>
        <w:tc>
          <w:tcPr>
            <w:tcW w:type="dxa" w:w="1680"/>
            <w:vAlign w:val="center"/>
          </w:tcPr>
          <w:p>
            <w:r/>
            <w:r>
              <w:rPr>
                <w:rFonts w:ascii="Arial" w:hAnsi="Arial"/>
                <w:b w:val="0"/>
                <w:sz w:val="18"/>
              </w:rPr>
              <w:t>24.6%</w:t>
            </w:r>
          </w:p>
        </w:tc>
        <w:tc>
          <w:tcPr>
            <w:tcW w:type="dxa" w:w="1680"/>
            <w:vAlign w:val="center"/>
          </w:tcPr>
          <w:p>
            <w:r/>
            <w:r>
              <w:rPr>
                <w:rFonts w:ascii="Arial" w:hAnsi="Arial"/>
                <w:b w:val="0"/>
                <w:sz w:val="18"/>
              </w:rPr>
              <w:t>₹100.6</w:t>
            </w:r>
          </w:p>
        </w:tc>
        <w:tc>
          <w:tcPr>
            <w:tcW w:type="dxa" w:w="1680"/>
            <w:vAlign w:val="center"/>
          </w:tcPr>
          <w:p>
            <w:r/>
            <w:r>
              <w:rPr>
                <w:rFonts w:ascii="Arial" w:hAnsi="Arial"/>
                <w:b w:val="0"/>
                <w:sz w:val="18"/>
              </w:rPr>
              <w:t>16.8x</w:t>
            </w:r>
          </w:p>
        </w:tc>
      </w:tr>
    </w:tbl>
    <w:p/>
    <w:p>
      <w:pPr>
        <w:spacing w:after="100" w:line="252" w:lineRule="auto"/>
      </w:pPr>
      <w:r>
        <w:t>We upgrade Aurobindo to Outperform with a ₹2,100 target. The thesis has changed for operational reasons. Five assets that were previously capital-consuming, delayed or too early to value are moving into the earnings base: Lannett, US inhalation, Pen-G, biosimilars and Acrotech dermatology. The FY27 estimate does not carry the upgrade. Our FY27 EPS is ₹70.9, below the old ₹73.9. The call rests on FY29–31 conversion, where EPS reaches ₹100.6 in FY29 and ₹132.9 in FY31.</w:t>
      </w:r>
    </w:p>
    <w:p>
      <w:pPr>
        <w:spacing w:after="100" w:line="252" w:lineRule="auto"/>
      </w:pPr>
      <w:r>
        <w:t>The other change is the shape of regulatory risk. Raleigh has a closed VAI classification, Seymour's four observations were described as procedural, and several API inspections ended with zero to three observations. Eugia remains under OAI across three units and still constrains injectable approvals. We therefore reduce the probability of a group-wide disruption while retaining a site-specific sterile drag.</w:t>
      </w:r>
    </w:p>
    <w:p>
      <w:pPr>
        <w:spacing w:after="100" w:line="252" w:lineRule="auto"/>
      </w:pPr>
      <w:r>
        <w:t>Our DCF yields ₹2,091 per share before rounding, using a 10.5% WACC and 4.5% terminal growth. At ₹1,686, the stock trades at 16.8x FY29E EPS. The ₹2,100 target implies 20.9x FY29E and 17.8x FY30E, supported by EBITDA margin expansion from 20.4% in FY26 to 23.0% in FY30.</w:t>
      </w:r>
    </w:p>
    <w:p>
      <w:r>
        <w:rPr>
          <w:b/>
          <w:color w:val="17365D"/>
        </w:rPr>
        <w:t xml:space="preserve">Analytical stance: </w:t>
      </w:r>
      <w:r>
        <w:t>facts, company guidance and analyst estimates are separated throughout. Product names, transfer routes and timing are not filled where public evidence is absent.</w:t>
      </w:r>
    </w:p>
    <w:p>
      <w:r>
        <w:br w:type="page"/>
      </w:r>
    </w:p>
    <w:p>
      <w:pPr>
        <w:pStyle w:val="Heading1"/>
      </w:pPr>
      <w:r>
        <w:t>Investment conclusion</w:t>
      </w:r>
    </w:p>
    <w:p>
      <w:pPr>
        <w:pStyle w:val="Heading2"/>
      </w:pPr>
      <w:r>
        <w:t>The old bear case is weakening faster than the new earnings are arriving</w:t>
      </w:r>
    </w:p>
    <w:p>
      <w:pPr>
        <w:spacing w:after="100" w:line="252" w:lineRule="auto"/>
      </w:pPr>
      <w:r>
        <w:t>The initiation note was right to resist an upgrade when the assets were mostly promises. Lannett was a low-utilization acquisition, Pen-G needed policy support and yield stabilization, biosimilars were late, Raleigh was blocked, and Eugia's observations made every US launch assumption less reliable. The market could see the assets, but it could not underwrite their timing.</w:t>
      </w:r>
    </w:p>
    <w:p>
      <w:pPr>
        <w:spacing w:after="100" w:line="252" w:lineRule="auto"/>
      </w:pPr>
      <w:r>
        <w:t>That timing risk has narrowed. Lannett now has a disclosed base of at least US$60m quarterly sales and around 40% utilization. Advair is launched; QVAR is approved; Raleigh's inspection is closed. Pen-G is running at 800–900 tonnes per month, supplies third parties, converts into 6-APA and has started export activity. Four biosimilars are commercial in Europe and the UK. ADQUEY launched on 30 September. These are operating facts, not terminal-value stories. [S3–S4, S9, S13–S15, S20]</w:t>
      </w:r>
    </w:p>
    <w:p>
      <w:pPr>
        <w:spacing w:after="100" w:line="252" w:lineRule="auto"/>
      </w:pPr>
      <w:r>
        <w:t>The upgrade is still contingent. We require Lannett to pass 50% utilization in FY29, Pen-G to earn a double-digit EBITDA return excluding PLI by FY30, respiratory EBITDA to cover the Eugia approval drag in FY29, and biosimilars to move above break-even by FY28/29. The workbook makes each of those tests visible and editable.</w:t>
      </w:r>
    </w:p>
    <w:p>
      <w:pPr>
        <w:keepNext/>
        <w:spacing w:before="160" w:after="40"/>
      </w:pPr>
      <w:r>
        <w:rPr>
          <w:rFonts w:ascii="Arial" w:hAnsi="Arial"/>
          <w:b/>
          <w:color w:val="17365D"/>
          <w:sz w:val="20"/>
        </w:rPr>
        <w:t>Exhibit 1: Catalyst EBITDA</w:t>
      </w:r>
    </w:p>
    <w:p>
      <w:pPr>
        <w:keepNext/>
        <w:keepLines/>
      </w:pPr>
      <w:r>
        <w:drawing>
          <wp:inline xmlns:a="http://schemas.openxmlformats.org/drawingml/2006/main" xmlns:pic="http://schemas.openxmlformats.org/drawingml/2006/picture">
            <wp:extent cx="6126480" cy="2943994"/>
            <wp:docPr id="1" name="Picture 1"/>
            <wp:cNvGraphicFramePr>
              <a:graphicFrameLocks noChangeAspect="1"/>
            </wp:cNvGraphicFramePr>
            <a:graphic>
              <a:graphicData uri="http://schemas.openxmlformats.org/drawingml/2006/picture">
                <pic:pic>
                  <pic:nvPicPr>
                    <pic:cNvPr id="0" name="catalyst_ebitda.png"/>
                    <pic:cNvPicPr/>
                  </pic:nvPicPr>
                  <pic:blipFill>
                    <a:blip r:embed="rId11"/>
                    <a:stretch>
                      <a:fillRect/>
                    </a:stretch>
                  </pic:blipFill>
                  <pic:spPr>
                    <a:xfrm>
                      <a:off x="0" y="0"/>
                      <a:ext cx="6126480" cy="2943994"/>
                    </a:xfrm>
                    <a:prstGeom prst="rect"/>
                  </pic:spPr>
                </pic:pic>
              </a:graphicData>
            </a:graphic>
          </wp:inline>
        </w:drawing>
      </w:r>
    </w:p>
    <w:p>
      <w:pPr>
        <w:pStyle w:val="Caption"/>
        <w:jc w:val="left"/>
      </w:pPr>
      <w:r>
        <w:t>Source: company disclosures and analyst estimates. Includes Lannett, respiratory, Pen-G, biosimilars and US dermatology.</w:t>
      </w:r>
    </w:p>
    <w:p>
      <w:pPr>
        <w:pStyle w:val="Heading2"/>
      </w:pPr>
      <w:r>
        <w:t>What changed versus the Market-Perform initiation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F6B78"/>
          </w:tcPr>
          <w:p>
            <w:pPr>
              <w:jc w:val="center"/>
            </w:pPr>
            <w:r/>
            <w:r>
              <w:rPr>
                <w:rFonts w:ascii="Arial" w:hAnsi="Arial"/>
                <w:b/>
                <w:color w:val="FFFFFF"/>
                <w:sz w:val="15"/>
              </w:rPr>
              <w:t>Debate</w:t>
            </w:r>
          </w:p>
        </w:tc>
        <w:tc>
          <w:tcPr>
            <w:tcW w:type="dxa" w:w="2520"/>
            <w:vAlign w:val="center"/>
            <w:shd w:fill="0F6B78"/>
          </w:tcPr>
          <w:p>
            <w:pPr>
              <w:jc w:val="center"/>
            </w:pPr>
            <w:r/>
            <w:r>
              <w:rPr>
                <w:rFonts w:ascii="Arial" w:hAnsi="Arial"/>
                <w:b/>
                <w:color w:val="FFFFFF"/>
                <w:sz w:val="15"/>
              </w:rPr>
              <w:t>Old thesis</w:t>
            </w:r>
          </w:p>
        </w:tc>
        <w:tc>
          <w:tcPr>
            <w:tcW w:type="dxa" w:w="2520"/>
            <w:vAlign w:val="center"/>
            <w:shd w:fill="0F6B78"/>
          </w:tcPr>
          <w:p>
            <w:pPr>
              <w:jc w:val="center"/>
            </w:pPr>
            <w:r/>
            <w:r>
              <w:rPr>
                <w:rFonts w:ascii="Arial" w:hAnsi="Arial"/>
                <w:b/>
                <w:color w:val="FFFFFF"/>
                <w:sz w:val="15"/>
              </w:rPr>
              <w:t>New evidence</w:t>
            </w:r>
          </w:p>
        </w:tc>
        <w:tc>
          <w:tcPr>
            <w:tcW w:type="dxa" w:w="2520"/>
            <w:vAlign w:val="center"/>
            <w:shd w:fill="0F6B78"/>
          </w:tcPr>
          <w:p>
            <w:pPr>
              <w:jc w:val="center"/>
            </w:pPr>
            <w:r/>
            <w:r>
              <w:rPr>
                <w:rFonts w:ascii="Arial" w:hAnsi="Arial"/>
                <w:b/>
                <w:color w:val="FFFFFF"/>
                <w:sz w:val="15"/>
              </w:rPr>
              <w:t>Model consequence</w:t>
            </w:r>
          </w:p>
        </w:tc>
      </w:tr>
      <w:tr>
        <w:tc>
          <w:tcPr>
            <w:tcW w:type="dxa" w:w="2520"/>
            <w:vAlign w:val="center"/>
          </w:tcPr>
          <w:p>
            <w:r/>
            <w:r>
              <w:rPr>
                <w:rFonts w:ascii="Arial" w:hAnsi="Arial"/>
                <w:b/>
                <w:sz w:val="15"/>
              </w:rPr>
              <w:t>Lannett</w:t>
            </w:r>
          </w:p>
        </w:tc>
        <w:tc>
          <w:tcPr>
            <w:tcW w:type="dxa" w:w="2520"/>
            <w:vAlign w:val="center"/>
          </w:tcPr>
          <w:p>
            <w:r/>
            <w:r>
              <w:rPr>
                <w:rFonts w:ascii="Arial" w:hAnsi="Arial"/>
                <w:b w:val="0"/>
                <w:sz w:val="15"/>
              </w:rPr>
              <w:t>5–6pp dilutive; ~₹12/share PV</w:t>
            </w:r>
          </w:p>
        </w:tc>
        <w:tc>
          <w:tcPr>
            <w:tcW w:type="dxa" w:w="2520"/>
            <w:vAlign w:val="center"/>
          </w:tcPr>
          <w:p>
            <w:r/>
            <w:r>
              <w:rPr>
                <w:rFonts w:ascii="Arial" w:hAnsi="Arial"/>
                <w:b w:val="0"/>
                <w:sz w:val="15"/>
              </w:rPr>
              <w:t>Closed, operating and at ~40% utilization</w:t>
            </w:r>
          </w:p>
        </w:tc>
        <w:tc>
          <w:tcPr>
            <w:tcW w:type="dxa" w:w="2520"/>
            <w:vAlign w:val="center"/>
          </w:tcPr>
          <w:p>
            <w:r/>
            <w:r>
              <w:rPr>
                <w:rFonts w:ascii="Arial" w:hAnsi="Arial"/>
                <w:b w:val="0"/>
                <w:sz w:val="15"/>
              </w:rPr>
              <w:t>₹559cr FY29E EBITDA</w:t>
            </w:r>
          </w:p>
        </w:tc>
      </w:tr>
      <w:tr>
        <w:tc>
          <w:tcPr>
            <w:tcW w:type="dxa" w:w="2520"/>
            <w:vAlign w:val="center"/>
            <w:shd w:fill="F3F6F8"/>
          </w:tcPr>
          <w:p>
            <w:r/>
            <w:r>
              <w:rPr>
                <w:rFonts w:ascii="Arial" w:hAnsi="Arial"/>
                <w:b/>
                <w:sz w:val="15"/>
              </w:rPr>
              <w:t>Quality</w:t>
            </w:r>
          </w:p>
        </w:tc>
        <w:tc>
          <w:tcPr>
            <w:tcW w:type="dxa" w:w="2520"/>
            <w:vAlign w:val="center"/>
            <w:shd w:fill="F3F6F8"/>
          </w:tcPr>
          <w:p>
            <w:r/>
            <w:r>
              <w:rPr>
                <w:rFonts w:ascii="Arial" w:hAnsi="Arial"/>
                <w:b w:val="0"/>
                <w:sz w:val="15"/>
              </w:rPr>
              <w:t>Fifth year of broad FDA concern</w:t>
            </w:r>
          </w:p>
        </w:tc>
        <w:tc>
          <w:tcPr>
            <w:tcW w:type="dxa" w:w="2520"/>
            <w:vAlign w:val="center"/>
            <w:shd w:fill="F3F6F8"/>
          </w:tcPr>
          <w:p>
            <w:r/>
            <w:r>
              <w:rPr>
                <w:rFonts w:ascii="Arial" w:hAnsi="Arial"/>
                <w:b w:val="0"/>
                <w:sz w:val="15"/>
              </w:rPr>
              <w:t>Raleigh closed VAI; oral/API outcomes better</w:t>
            </w:r>
          </w:p>
        </w:tc>
        <w:tc>
          <w:tcPr>
            <w:tcW w:type="dxa" w:w="2520"/>
            <w:vAlign w:val="center"/>
            <w:shd w:fill="F3F6F8"/>
          </w:tcPr>
          <w:p>
            <w:r/>
            <w:r>
              <w:rPr>
                <w:rFonts w:ascii="Arial" w:hAnsi="Arial"/>
                <w:b w:val="0"/>
                <w:sz w:val="15"/>
              </w:rPr>
              <w:t>Risk narrows to Eugia</w:t>
            </w:r>
          </w:p>
        </w:tc>
      </w:tr>
      <w:tr>
        <w:tc>
          <w:tcPr>
            <w:tcW w:type="dxa" w:w="2520"/>
            <w:vAlign w:val="center"/>
          </w:tcPr>
          <w:p>
            <w:r/>
            <w:r>
              <w:rPr>
                <w:rFonts w:ascii="Arial" w:hAnsi="Arial"/>
                <w:b/>
                <w:sz w:val="15"/>
              </w:rPr>
              <w:t>Respiratory</w:t>
            </w:r>
          </w:p>
        </w:tc>
        <w:tc>
          <w:tcPr>
            <w:tcW w:type="dxa" w:w="2520"/>
            <w:vAlign w:val="center"/>
          </w:tcPr>
          <w:p>
            <w:r/>
            <w:r>
              <w:rPr>
                <w:rFonts w:ascii="Arial" w:hAnsi="Arial"/>
                <w:b w:val="0"/>
                <w:sz w:val="15"/>
              </w:rPr>
              <w:t>Pipeline with uncertain timing</w:t>
            </w:r>
          </w:p>
        </w:tc>
        <w:tc>
          <w:tcPr>
            <w:tcW w:type="dxa" w:w="2520"/>
            <w:vAlign w:val="center"/>
          </w:tcPr>
          <w:p>
            <w:r/>
            <w:r>
              <w:rPr>
                <w:rFonts w:ascii="Arial" w:hAnsi="Arial"/>
                <w:b w:val="0"/>
                <w:sz w:val="15"/>
              </w:rPr>
              <w:t>Advair launched; QVAR approved</w:t>
            </w:r>
          </w:p>
        </w:tc>
        <w:tc>
          <w:tcPr>
            <w:tcW w:type="dxa" w:w="2520"/>
            <w:vAlign w:val="center"/>
          </w:tcPr>
          <w:p>
            <w:r/>
            <w:r>
              <w:rPr>
                <w:rFonts w:ascii="Arial" w:hAnsi="Arial"/>
                <w:b w:val="0"/>
                <w:sz w:val="15"/>
              </w:rPr>
              <w:t>₹233cr FY29E EBITDA</w:t>
            </w:r>
          </w:p>
        </w:tc>
      </w:tr>
      <w:tr>
        <w:tc>
          <w:tcPr>
            <w:tcW w:type="dxa" w:w="2520"/>
            <w:vAlign w:val="center"/>
            <w:shd w:fill="F3F6F8"/>
          </w:tcPr>
          <w:p>
            <w:r/>
            <w:r>
              <w:rPr>
                <w:rFonts w:ascii="Arial" w:hAnsi="Arial"/>
                <w:b/>
                <w:sz w:val="15"/>
              </w:rPr>
              <w:t>Pen-G</w:t>
            </w:r>
          </w:p>
        </w:tc>
        <w:tc>
          <w:tcPr>
            <w:tcW w:type="dxa" w:w="2520"/>
            <w:vAlign w:val="center"/>
            <w:shd w:fill="F3F6F8"/>
          </w:tcPr>
          <w:p>
            <w:r/>
            <w:r>
              <w:rPr>
                <w:rFonts w:ascii="Arial" w:hAnsi="Arial"/>
                <w:b w:val="0"/>
                <w:sz w:val="15"/>
              </w:rPr>
              <w:t>Benefit seen as priced in</w:t>
            </w:r>
          </w:p>
        </w:tc>
        <w:tc>
          <w:tcPr>
            <w:tcW w:type="dxa" w:w="2520"/>
            <w:vAlign w:val="center"/>
            <w:shd w:fill="F3F6F8"/>
          </w:tcPr>
          <w:p>
            <w:r/>
            <w:r>
              <w:rPr>
                <w:rFonts w:ascii="Arial" w:hAnsi="Arial"/>
                <w:b w:val="0"/>
                <w:sz w:val="15"/>
              </w:rPr>
              <w:t>MIP, volume ramp, external sales and exports</w:t>
            </w:r>
          </w:p>
        </w:tc>
        <w:tc>
          <w:tcPr>
            <w:tcW w:type="dxa" w:w="2520"/>
            <w:vAlign w:val="center"/>
            <w:shd w:fill="F3F6F8"/>
          </w:tcPr>
          <w:p>
            <w:r/>
            <w:r>
              <w:rPr>
                <w:rFonts w:ascii="Arial" w:hAnsi="Arial"/>
                <w:b w:val="0"/>
                <w:sz w:val="15"/>
              </w:rPr>
              <w:t>₹522cr FY29E EBITDA</w:t>
            </w:r>
          </w:p>
        </w:tc>
      </w:tr>
      <w:tr>
        <w:tc>
          <w:tcPr>
            <w:tcW w:type="dxa" w:w="2520"/>
            <w:vAlign w:val="center"/>
          </w:tcPr>
          <w:p>
            <w:r/>
            <w:r>
              <w:rPr>
                <w:rFonts w:ascii="Arial" w:hAnsi="Arial"/>
                <w:b/>
                <w:sz w:val="15"/>
              </w:rPr>
              <w:t>Biosimilars</w:t>
            </w:r>
          </w:p>
        </w:tc>
        <w:tc>
          <w:tcPr>
            <w:tcW w:type="dxa" w:w="2520"/>
            <w:vAlign w:val="center"/>
          </w:tcPr>
          <w:p>
            <w:r/>
            <w:r>
              <w:rPr>
                <w:rFonts w:ascii="Arial" w:hAnsi="Arial"/>
                <w:b w:val="0"/>
                <w:sz w:val="15"/>
              </w:rPr>
              <w:t>Late, single-digit return</w:t>
            </w:r>
          </w:p>
        </w:tc>
        <w:tc>
          <w:tcPr>
            <w:tcW w:type="dxa" w:w="2520"/>
            <w:vAlign w:val="center"/>
          </w:tcPr>
          <w:p>
            <w:r/>
            <w:r>
              <w:rPr>
                <w:rFonts w:ascii="Arial" w:hAnsi="Arial"/>
                <w:b w:val="0"/>
                <w:sz w:val="15"/>
              </w:rPr>
              <w:t>Four products selling; trials largely complete</w:t>
            </w:r>
          </w:p>
        </w:tc>
        <w:tc>
          <w:tcPr>
            <w:tcW w:type="dxa" w:w="2520"/>
            <w:vAlign w:val="center"/>
          </w:tcPr>
          <w:p>
            <w:r/>
            <w:r>
              <w:rPr>
                <w:rFonts w:ascii="Arial" w:hAnsi="Arial"/>
                <w:b w:val="0"/>
                <w:sz w:val="15"/>
              </w:rPr>
              <w:t>18% FY29E margin</w:t>
            </w:r>
          </w:p>
        </w:tc>
      </w:tr>
      <w:tr>
        <w:tc>
          <w:tcPr>
            <w:tcW w:type="dxa" w:w="2520"/>
            <w:vAlign w:val="center"/>
            <w:shd w:fill="F3F6F8"/>
          </w:tcPr>
          <w:p>
            <w:r/>
            <w:r>
              <w:rPr>
                <w:rFonts w:ascii="Arial" w:hAnsi="Arial"/>
                <w:b/>
                <w:sz w:val="15"/>
              </w:rPr>
              <w:t>Dermatology</w:t>
            </w:r>
          </w:p>
        </w:tc>
        <w:tc>
          <w:tcPr>
            <w:tcW w:type="dxa" w:w="2520"/>
            <w:vAlign w:val="center"/>
            <w:shd w:fill="F3F6F8"/>
          </w:tcPr>
          <w:p>
            <w:r/>
            <w:r>
              <w:rPr>
                <w:rFonts w:ascii="Arial" w:hAnsi="Arial"/>
                <w:b w:val="0"/>
                <w:sz w:val="15"/>
              </w:rPr>
              <w:t>Outside core case</w:t>
            </w:r>
          </w:p>
        </w:tc>
        <w:tc>
          <w:tcPr>
            <w:tcW w:type="dxa" w:w="2520"/>
            <w:vAlign w:val="center"/>
            <w:shd w:fill="F3F6F8"/>
          </w:tcPr>
          <w:p>
            <w:r/>
            <w:r>
              <w:rPr>
                <w:rFonts w:ascii="Arial" w:hAnsi="Arial"/>
                <w:b w:val="0"/>
                <w:sz w:val="15"/>
              </w:rPr>
              <w:t>ADQUEY launched; platform built</w:t>
            </w:r>
          </w:p>
        </w:tc>
        <w:tc>
          <w:tcPr>
            <w:tcW w:type="dxa" w:w="2520"/>
            <w:vAlign w:val="center"/>
            <w:shd w:fill="F3F6F8"/>
          </w:tcPr>
          <w:p>
            <w:r/>
            <w:r>
              <w:rPr>
                <w:rFonts w:ascii="Arial" w:hAnsi="Arial"/>
                <w:b w:val="0"/>
                <w:sz w:val="15"/>
              </w:rPr>
              <w:t>FY29E break-even</w:t>
            </w:r>
          </w:p>
        </w:tc>
      </w:tr>
    </w:tbl>
    <w:p>
      <w:pPr>
        <w:pStyle w:val="Heading2"/>
      </w:pPr>
      <w:r>
        <w:t>Forecasts: FY27 is not the upgrade year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0F6B78"/>
          </w:tcPr>
          <w:p>
            <w:pPr>
              <w:jc w:val="center"/>
            </w:pPr>
            <w:r/>
            <w:r>
              <w:rPr>
                <w:rFonts w:ascii="Arial" w:hAnsi="Arial"/>
                <w:b/>
                <w:color w:val="FFFFFF"/>
                <w:sz w:val="16"/>
              </w:rPr>
              <w:t>Year</w:t>
            </w:r>
          </w:p>
        </w:tc>
        <w:tc>
          <w:tcPr>
            <w:tcW w:type="dxa" w:w="1680"/>
            <w:vAlign w:val="center"/>
            <w:shd w:fill="0F6B78"/>
          </w:tcPr>
          <w:p>
            <w:pPr>
              <w:jc w:val="center"/>
            </w:pPr>
            <w:r/>
            <w:r>
              <w:rPr>
                <w:rFonts w:ascii="Arial" w:hAnsi="Arial"/>
                <w:b/>
                <w:color w:val="FFFFFF"/>
                <w:sz w:val="16"/>
              </w:rPr>
              <w:t>Revenue</w:t>
            </w:r>
          </w:p>
        </w:tc>
        <w:tc>
          <w:tcPr>
            <w:tcW w:type="dxa" w:w="1680"/>
            <w:vAlign w:val="center"/>
            <w:shd w:fill="0F6B78"/>
          </w:tcPr>
          <w:p>
            <w:pPr>
              <w:jc w:val="center"/>
            </w:pPr>
            <w:r/>
            <w:r>
              <w:rPr>
                <w:rFonts w:ascii="Arial" w:hAnsi="Arial"/>
                <w:b/>
                <w:color w:val="FFFFFF"/>
                <w:sz w:val="16"/>
              </w:rPr>
              <w:t>EBITDA</w:t>
            </w:r>
          </w:p>
        </w:tc>
        <w:tc>
          <w:tcPr>
            <w:tcW w:type="dxa" w:w="1680"/>
            <w:vAlign w:val="center"/>
            <w:shd w:fill="0F6B78"/>
          </w:tcPr>
          <w:p>
            <w:pPr>
              <w:jc w:val="center"/>
            </w:pPr>
            <w:r/>
            <w:r>
              <w:rPr>
                <w:rFonts w:ascii="Arial" w:hAnsi="Arial"/>
                <w:b/>
                <w:color w:val="FFFFFF"/>
                <w:sz w:val="16"/>
              </w:rPr>
              <w:t>Margin</w:t>
            </w:r>
          </w:p>
        </w:tc>
        <w:tc>
          <w:tcPr>
            <w:tcW w:type="dxa" w:w="1680"/>
            <w:vAlign w:val="center"/>
            <w:shd w:fill="0F6B78"/>
          </w:tcPr>
          <w:p>
            <w:pPr>
              <w:jc w:val="center"/>
            </w:pPr>
            <w:r/>
            <w:r>
              <w:rPr>
                <w:rFonts w:ascii="Arial" w:hAnsi="Arial"/>
                <w:b/>
                <w:color w:val="FFFFFF"/>
                <w:sz w:val="16"/>
              </w:rPr>
              <w:t>EPS</w:t>
            </w:r>
          </w:p>
        </w:tc>
        <w:tc>
          <w:tcPr>
            <w:tcW w:type="dxa" w:w="1680"/>
            <w:vAlign w:val="center"/>
            <w:shd w:fill="0F6B78"/>
          </w:tcPr>
          <w:p>
            <w:pPr>
              <w:jc w:val="center"/>
            </w:pPr>
            <w:r/>
            <w:r>
              <w:rPr>
                <w:rFonts w:ascii="Arial" w:hAnsi="Arial"/>
                <w:b/>
                <w:color w:val="FFFFFF"/>
                <w:sz w:val="16"/>
              </w:rPr>
              <w:t>Vs old EPS</w:t>
            </w:r>
          </w:p>
        </w:tc>
      </w:tr>
      <w:tr>
        <w:tc>
          <w:tcPr>
            <w:tcW w:type="dxa" w:w="1680"/>
            <w:vAlign w:val="center"/>
          </w:tcPr>
          <w:p>
            <w:r/>
            <w:r>
              <w:rPr>
                <w:rFonts w:ascii="Arial" w:hAnsi="Arial"/>
                <w:b/>
                <w:sz w:val="16"/>
              </w:rPr>
              <w:t>FY26A</w:t>
            </w:r>
          </w:p>
        </w:tc>
        <w:tc>
          <w:tcPr>
            <w:tcW w:type="dxa" w:w="1680"/>
            <w:vAlign w:val="center"/>
          </w:tcPr>
          <w:p>
            <w:r/>
            <w:r>
              <w:rPr>
                <w:rFonts w:ascii="Arial" w:hAnsi="Arial"/>
                <w:b w:val="0"/>
                <w:sz w:val="16"/>
              </w:rPr>
              <w:t>₹33,653cr</w:t>
            </w:r>
          </w:p>
        </w:tc>
        <w:tc>
          <w:tcPr>
            <w:tcW w:type="dxa" w:w="1680"/>
            <w:vAlign w:val="center"/>
          </w:tcPr>
          <w:p>
            <w:r/>
            <w:r>
              <w:rPr>
                <w:rFonts w:ascii="Arial" w:hAnsi="Arial"/>
                <w:b w:val="0"/>
                <w:sz w:val="16"/>
              </w:rPr>
              <w:t>₹6,856cr</w:t>
            </w:r>
          </w:p>
        </w:tc>
        <w:tc>
          <w:tcPr>
            <w:tcW w:type="dxa" w:w="1680"/>
            <w:vAlign w:val="center"/>
          </w:tcPr>
          <w:p>
            <w:r/>
            <w:r>
              <w:rPr>
                <w:rFonts w:ascii="Arial" w:hAnsi="Arial"/>
                <w:b w:val="0"/>
                <w:sz w:val="16"/>
              </w:rPr>
              <w:t>20.4%</w:t>
            </w:r>
          </w:p>
        </w:tc>
        <w:tc>
          <w:tcPr>
            <w:tcW w:type="dxa" w:w="1680"/>
            <w:vAlign w:val="center"/>
          </w:tcPr>
          <w:p>
            <w:r/>
            <w:r>
              <w:rPr>
                <w:rFonts w:ascii="Arial" w:hAnsi="Arial"/>
                <w:b w:val="0"/>
                <w:sz w:val="16"/>
              </w:rPr>
              <w:t>₹60.3</w:t>
            </w:r>
          </w:p>
        </w:tc>
        <w:tc>
          <w:tcPr>
            <w:tcW w:type="dxa" w:w="1680"/>
            <w:vAlign w:val="center"/>
          </w:tcPr>
          <w:p>
            <w:r/>
            <w:r>
              <w:rPr>
                <w:rFonts w:ascii="Arial" w:hAnsi="Arial"/>
                <w:b w:val="0"/>
                <w:sz w:val="16"/>
              </w:rPr>
              <w:t>0.6%</w:t>
            </w:r>
          </w:p>
        </w:tc>
      </w:tr>
      <w:tr>
        <w:tc>
          <w:tcPr>
            <w:tcW w:type="dxa" w:w="1680"/>
            <w:vAlign w:val="center"/>
            <w:shd w:fill="F3F6F8"/>
          </w:tcPr>
          <w:p>
            <w:r/>
            <w:r>
              <w:rPr>
                <w:rFonts w:ascii="Arial" w:hAnsi="Arial"/>
                <w:b/>
                <w:sz w:val="16"/>
              </w:rPr>
              <w:t>FY27E</w:t>
            </w:r>
          </w:p>
        </w:tc>
        <w:tc>
          <w:tcPr>
            <w:tcW w:type="dxa" w:w="1680"/>
            <w:vAlign w:val="center"/>
            <w:shd w:fill="F3F6F8"/>
          </w:tcPr>
          <w:p>
            <w:r/>
            <w:r>
              <w:rPr>
                <w:rFonts w:ascii="Arial" w:hAnsi="Arial"/>
                <w:b w:val="0"/>
                <w:sz w:val="16"/>
              </w:rPr>
              <w:t>₹38,127cr</w:t>
            </w:r>
          </w:p>
        </w:tc>
        <w:tc>
          <w:tcPr>
            <w:tcW w:type="dxa" w:w="1680"/>
            <w:vAlign w:val="center"/>
            <w:shd w:fill="F3F6F8"/>
          </w:tcPr>
          <w:p>
            <w:r/>
            <w:r>
              <w:rPr>
                <w:rFonts w:ascii="Arial" w:hAnsi="Arial"/>
                <w:b w:val="0"/>
                <w:sz w:val="16"/>
              </w:rPr>
              <w:t>₹8,015cr</w:t>
            </w:r>
          </w:p>
        </w:tc>
        <w:tc>
          <w:tcPr>
            <w:tcW w:type="dxa" w:w="1680"/>
            <w:vAlign w:val="center"/>
            <w:shd w:fill="F3F6F8"/>
          </w:tcPr>
          <w:p>
            <w:r/>
            <w:r>
              <w:rPr>
                <w:rFonts w:ascii="Arial" w:hAnsi="Arial"/>
                <w:b w:val="0"/>
                <w:sz w:val="16"/>
              </w:rPr>
              <w:t>21.0%</w:t>
            </w:r>
          </w:p>
        </w:tc>
        <w:tc>
          <w:tcPr>
            <w:tcW w:type="dxa" w:w="1680"/>
            <w:vAlign w:val="center"/>
            <w:shd w:fill="F3F6F8"/>
          </w:tcPr>
          <w:p>
            <w:r/>
            <w:r>
              <w:rPr>
                <w:rFonts w:ascii="Arial" w:hAnsi="Arial"/>
                <w:b w:val="0"/>
                <w:sz w:val="16"/>
              </w:rPr>
              <w:t>₹70.9</w:t>
            </w:r>
          </w:p>
        </w:tc>
        <w:tc>
          <w:tcPr>
            <w:tcW w:type="dxa" w:w="1680"/>
            <w:vAlign w:val="center"/>
            <w:shd w:fill="F3F6F8"/>
          </w:tcPr>
          <w:p>
            <w:r/>
            <w:r>
              <w:rPr>
                <w:rFonts w:ascii="Arial" w:hAnsi="Arial"/>
                <w:b w:val="0"/>
                <w:sz w:val="16"/>
              </w:rPr>
              <w:t>-4.1%</w:t>
            </w:r>
          </w:p>
        </w:tc>
      </w:tr>
      <w:tr>
        <w:tc>
          <w:tcPr>
            <w:tcW w:type="dxa" w:w="1680"/>
            <w:vAlign w:val="center"/>
          </w:tcPr>
          <w:p>
            <w:r/>
            <w:r>
              <w:rPr>
                <w:rFonts w:ascii="Arial" w:hAnsi="Arial"/>
                <w:b/>
                <w:sz w:val="16"/>
              </w:rPr>
              <w:t>FY28E</w:t>
            </w:r>
          </w:p>
        </w:tc>
        <w:tc>
          <w:tcPr>
            <w:tcW w:type="dxa" w:w="1680"/>
            <w:vAlign w:val="center"/>
          </w:tcPr>
          <w:p>
            <w:r/>
            <w:r>
              <w:rPr>
                <w:rFonts w:ascii="Arial" w:hAnsi="Arial"/>
                <w:b w:val="0"/>
                <w:sz w:val="16"/>
              </w:rPr>
              <w:t>₹42,502cr</w:t>
            </w:r>
          </w:p>
        </w:tc>
        <w:tc>
          <w:tcPr>
            <w:tcW w:type="dxa" w:w="1680"/>
            <w:vAlign w:val="center"/>
          </w:tcPr>
          <w:p>
            <w:r/>
            <w:r>
              <w:rPr>
                <w:rFonts w:ascii="Arial" w:hAnsi="Arial"/>
                <w:b w:val="0"/>
                <w:sz w:val="16"/>
              </w:rPr>
              <w:t>₹9,151cr</w:t>
            </w:r>
          </w:p>
        </w:tc>
        <w:tc>
          <w:tcPr>
            <w:tcW w:type="dxa" w:w="1680"/>
            <w:vAlign w:val="center"/>
          </w:tcPr>
          <w:p>
            <w:r/>
            <w:r>
              <w:rPr>
                <w:rFonts w:ascii="Arial" w:hAnsi="Arial"/>
                <w:b w:val="0"/>
                <w:sz w:val="16"/>
              </w:rPr>
              <w:t>21.5%</w:t>
            </w:r>
          </w:p>
        </w:tc>
        <w:tc>
          <w:tcPr>
            <w:tcW w:type="dxa" w:w="1680"/>
            <w:vAlign w:val="center"/>
          </w:tcPr>
          <w:p>
            <w:r/>
            <w:r>
              <w:rPr>
                <w:rFonts w:ascii="Arial" w:hAnsi="Arial"/>
                <w:b w:val="0"/>
                <w:sz w:val="16"/>
              </w:rPr>
              <w:t>₹85.0</w:t>
            </w:r>
          </w:p>
        </w:tc>
        <w:tc>
          <w:tcPr>
            <w:tcW w:type="dxa" w:w="1680"/>
            <w:vAlign w:val="center"/>
          </w:tcPr>
          <w:p>
            <w:r/>
            <w:r>
              <w:rPr>
                <w:rFonts w:ascii="Arial" w:hAnsi="Arial"/>
                <w:b w:val="0"/>
                <w:sz w:val="16"/>
              </w:rPr>
              <w:t>6.8%</w:t>
            </w:r>
          </w:p>
        </w:tc>
      </w:tr>
      <w:tr>
        <w:tc>
          <w:tcPr>
            <w:tcW w:type="dxa" w:w="1680"/>
            <w:vAlign w:val="center"/>
            <w:shd w:fill="F3F6F8"/>
          </w:tcPr>
          <w:p>
            <w:r/>
            <w:r>
              <w:rPr>
                <w:rFonts w:ascii="Arial" w:hAnsi="Arial"/>
                <w:b/>
                <w:sz w:val="16"/>
              </w:rPr>
              <w:t>FY29E</w:t>
            </w:r>
          </w:p>
        </w:tc>
        <w:tc>
          <w:tcPr>
            <w:tcW w:type="dxa" w:w="1680"/>
            <w:vAlign w:val="center"/>
            <w:shd w:fill="F3F6F8"/>
          </w:tcPr>
          <w:p>
            <w:r/>
            <w:r>
              <w:rPr>
                <w:rFonts w:ascii="Arial" w:hAnsi="Arial"/>
                <w:b w:val="0"/>
                <w:sz w:val="16"/>
              </w:rPr>
              <w:t>₹46,995cr</w:t>
            </w:r>
          </w:p>
        </w:tc>
        <w:tc>
          <w:tcPr>
            <w:tcW w:type="dxa" w:w="1680"/>
            <w:vAlign w:val="center"/>
            <w:shd w:fill="F3F6F8"/>
          </w:tcPr>
          <w:p>
            <w:r/>
            <w:r>
              <w:rPr>
                <w:rFonts w:ascii="Arial" w:hAnsi="Arial"/>
                <w:b w:val="0"/>
                <w:sz w:val="16"/>
              </w:rPr>
              <w:t>₹10,381cr</w:t>
            </w:r>
          </w:p>
        </w:tc>
        <w:tc>
          <w:tcPr>
            <w:tcW w:type="dxa" w:w="1680"/>
            <w:vAlign w:val="center"/>
            <w:shd w:fill="F3F6F8"/>
          </w:tcPr>
          <w:p>
            <w:r/>
            <w:r>
              <w:rPr>
                <w:rFonts w:ascii="Arial" w:hAnsi="Arial"/>
                <w:b w:val="0"/>
                <w:sz w:val="16"/>
              </w:rPr>
              <w:t>22.1%</w:t>
            </w:r>
          </w:p>
        </w:tc>
        <w:tc>
          <w:tcPr>
            <w:tcW w:type="dxa" w:w="1680"/>
            <w:vAlign w:val="center"/>
            <w:shd w:fill="F3F6F8"/>
          </w:tcPr>
          <w:p>
            <w:r/>
            <w:r>
              <w:rPr>
                <w:rFonts w:ascii="Arial" w:hAnsi="Arial"/>
                <w:b w:val="0"/>
                <w:sz w:val="16"/>
              </w:rPr>
              <w:t>₹100.6</w:t>
            </w:r>
          </w:p>
        </w:tc>
        <w:tc>
          <w:tcPr>
            <w:tcW w:type="dxa" w:w="1680"/>
            <w:vAlign w:val="center"/>
            <w:shd w:fill="F3F6F8"/>
          </w:tcPr>
          <w:p>
            <w:r/>
            <w:r>
              <w:rPr>
                <w:rFonts w:ascii="Arial" w:hAnsi="Arial"/>
                <w:b w:val="0"/>
                <w:sz w:val="16"/>
              </w:rPr>
              <w:t>17.1%</w:t>
            </w:r>
          </w:p>
        </w:tc>
      </w:tr>
      <w:tr>
        <w:tc>
          <w:tcPr>
            <w:tcW w:type="dxa" w:w="1680"/>
            <w:vAlign w:val="center"/>
          </w:tcPr>
          <w:p>
            <w:r/>
            <w:r>
              <w:rPr>
                <w:rFonts w:ascii="Arial" w:hAnsi="Arial"/>
                <w:b/>
                <w:sz w:val="16"/>
              </w:rPr>
              <w:t>FY30E</w:t>
            </w:r>
          </w:p>
        </w:tc>
        <w:tc>
          <w:tcPr>
            <w:tcW w:type="dxa" w:w="1680"/>
            <w:vAlign w:val="center"/>
          </w:tcPr>
          <w:p>
            <w:r/>
            <w:r>
              <w:rPr>
                <w:rFonts w:ascii="Arial" w:hAnsi="Arial"/>
                <w:b w:val="0"/>
                <w:sz w:val="16"/>
              </w:rPr>
              <w:t>₹51,426cr</w:t>
            </w:r>
          </w:p>
        </w:tc>
        <w:tc>
          <w:tcPr>
            <w:tcW w:type="dxa" w:w="1680"/>
            <w:vAlign w:val="center"/>
          </w:tcPr>
          <w:p>
            <w:r/>
            <w:r>
              <w:rPr>
                <w:rFonts w:ascii="Arial" w:hAnsi="Arial"/>
                <w:b w:val="0"/>
                <w:sz w:val="16"/>
              </w:rPr>
              <w:t>₹11,807cr</w:t>
            </w:r>
          </w:p>
        </w:tc>
        <w:tc>
          <w:tcPr>
            <w:tcW w:type="dxa" w:w="1680"/>
            <w:vAlign w:val="center"/>
          </w:tcPr>
          <w:p>
            <w:r/>
            <w:r>
              <w:rPr>
                <w:rFonts w:ascii="Arial" w:hAnsi="Arial"/>
                <w:b w:val="0"/>
                <w:sz w:val="16"/>
              </w:rPr>
              <w:t>23.0%</w:t>
            </w:r>
          </w:p>
        </w:tc>
        <w:tc>
          <w:tcPr>
            <w:tcW w:type="dxa" w:w="1680"/>
            <w:vAlign w:val="center"/>
          </w:tcPr>
          <w:p>
            <w:r/>
            <w:r>
              <w:rPr>
                <w:rFonts w:ascii="Arial" w:hAnsi="Arial"/>
                <w:b w:val="0"/>
                <w:sz w:val="16"/>
              </w:rPr>
              <w:t>₹117.7</w:t>
            </w:r>
          </w:p>
        </w:tc>
        <w:tc>
          <w:tcPr>
            <w:tcW w:type="dxa" w:w="1680"/>
            <w:vAlign w:val="center"/>
          </w:tcPr>
          <w:p>
            <w:r/>
            <w:r>
              <w:rPr>
                <w:rFonts w:ascii="Arial" w:hAnsi="Arial"/>
                <w:b w:val="0"/>
                <w:sz w:val="16"/>
              </w:rPr>
              <w:t>26.9%</w:t>
            </w:r>
          </w:p>
        </w:tc>
      </w:tr>
      <w:tr>
        <w:tc>
          <w:tcPr>
            <w:tcW w:type="dxa" w:w="1680"/>
            <w:vAlign w:val="center"/>
            <w:shd w:fill="F3F6F8"/>
          </w:tcPr>
          <w:p>
            <w:r/>
            <w:r>
              <w:rPr>
                <w:rFonts w:ascii="Arial" w:hAnsi="Arial"/>
                <w:b/>
                <w:sz w:val="16"/>
              </w:rPr>
              <w:t>FY31E</w:t>
            </w:r>
          </w:p>
        </w:tc>
        <w:tc>
          <w:tcPr>
            <w:tcW w:type="dxa" w:w="1680"/>
            <w:vAlign w:val="center"/>
            <w:shd w:fill="F3F6F8"/>
          </w:tcPr>
          <w:p>
            <w:r/>
            <w:r>
              <w:rPr>
                <w:rFonts w:ascii="Arial" w:hAnsi="Arial"/>
                <w:b w:val="0"/>
                <w:sz w:val="16"/>
              </w:rPr>
              <w:t>₹55,418cr</w:t>
            </w:r>
          </w:p>
        </w:tc>
        <w:tc>
          <w:tcPr>
            <w:tcW w:type="dxa" w:w="1680"/>
            <w:vAlign w:val="center"/>
            <w:shd w:fill="F3F6F8"/>
          </w:tcPr>
          <w:p>
            <w:r/>
            <w:r>
              <w:rPr>
                <w:rFonts w:ascii="Arial" w:hAnsi="Arial"/>
                <w:b w:val="0"/>
                <w:sz w:val="16"/>
              </w:rPr>
              <w:t>₹13,073cr</w:t>
            </w:r>
          </w:p>
        </w:tc>
        <w:tc>
          <w:tcPr>
            <w:tcW w:type="dxa" w:w="1680"/>
            <w:vAlign w:val="center"/>
            <w:shd w:fill="F3F6F8"/>
          </w:tcPr>
          <w:p>
            <w:r/>
            <w:r>
              <w:rPr>
                <w:rFonts w:ascii="Arial" w:hAnsi="Arial"/>
                <w:b w:val="0"/>
                <w:sz w:val="16"/>
              </w:rPr>
              <w:t>23.6%</w:t>
            </w:r>
          </w:p>
        </w:tc>
        <w:tc>
          <w:tcPr>
            <w:tcW w:type="dxa" w:w="1680"/>
            <w:vAlign w:val="center"/>
            <w:shd w:fill="F3F6F8"/>
          </w:tcPr>
          <w:p>
            <w:r/>
            <w:r>
              <w:rPr>
                <w:rFonts w:ascii="Arial" w:hAnsi="Arial"/>
                <w:b w:val="0"/>
                <w:sz w:val="16"/>
              </w:rPr>
              <w:t>₹132.9</w:t>
            </w:r>
          </w:p>
        </w:tc>
        <w:tc>
          <w:tcPr>
            <w:tcW w:type="dxa" w:w="1680"/>
            <w:vAlign w:val="center"/>
            <w:shd w:fill="F3F6F8"/>
          </w:tcPr>
          <w:p>
            <w:r/>
            <w:r>
              <w:rPr>
                <w:rFonts w:ascii="Arial" w:hAnsi="Arial"/>
                <w:b w:val="0"/>
                <w:sz w:val="16"/>
              </w:rPr>
              <w:t>32.7%</w:t>
            </w:r>
          </w:p>
        </w:tc>
      </w:tr>
    </w:tbl>
    <w:p>
      <w:pPr>
        <w:keepNext/>
        <w:spacing w:before="160" w:after="40"/>
      </w:pPr>
      <w:r>
        <w:rPr>
          <w:rFonts w:ascii="Arial" w:hAnsi="Arial"/>
          <w:b/>
          <w:color w:val="17365D"/>
          <w:sz w:val="20"/>
        </w:rPr>
        <w:t>Exhibit 2: EPS revision</w:t>
      </w:r>
    </w:p>
    <w:p>
      <w:pPr>
        <w:keepNext/>
        <w:keepLines/>
      </w:pPr>
      <w:r>
        <w:drawing>
          <wp:inline xmlns:a="http://schemas.openxmlformats.org/drawingml/2006/main" xmlns:pic="http://schemas.openxmlformats.org/drawingml/2006/picture">
            <wp:extent cx="6126480" cy="2943994"/>
            <wp:docPr id="2" name="Picture 2"/>
            <wp:cNvGraphicFramePr>
              <a:graphicFrameLocks noChangeAspect="1"/>
            </wp:cNvGraphicFramePr>
            <a:graphic>
              <a:graphicData uri="http://schemas.openxmlformats.org/drawingml/2006/picture">
                <pic:pic>
                  <pic:nvPicPr>
                    <pic:cNvPr id="0" name="eps_revision.png"/>
                    <pic:cNvPicPr/>
                  </pic:nvPicPr>
                  <pic:blipFill>
                    <a:blip r:embed="rId12"/>
                    <a:stretch>
                      <a:fillRect/>
                    </a:stretch>
                  </pic:blipFill>
                  <pic:spPr>
                    <a:xfrm>
                      <a:off x="0" y="0"/>
                      <a:ext cx="6126480" cy="2943994"/>
                    </a:xfrm>
                    <a:prstGeom prst="rect"/>
                  </pic:spPr>
                </pic:pic>
              </a:graphicData>
            </a:graphic>
          </wp:inline>
        </w:drawing>
      </w:r>
    </w:p>
    <w:p>
      <w:pPr>
        <w:pStyle w:val="Caption"/>
        <w:jc w:val="left"/>
      </w:pPr>
      <w:r>
        <w:t>Source: uploaded initiation estimates, company results and analyst estimates. FY29–31 old estimates are extrapolated at 8% from the old FY28 base and are labelled as analyst extrapolations in the workbook.</w:t>
      </w:r>
    </w:p>
    <w:p>
      <w:r>
        <w:br w:type="page"/>
      </w:r>
    </w:p>
    <w:p>
      <w:pPr>
        <w:pStyle w:val="Heading1"/>
      </w:pPr>
      <w:r>
        <w:t>1. Lannett will turn around in 12–18 months</w:t>
      </w:r>
    </w:p>
    <w:p>
      <w:pPr>
        <w:pStyle w:val="Heading2"/>
      </w:pPr>
      <w:r>
        <w:t>At 40% utilization, the plant is an absorption problem before it is a growth problem</w:t>
      </w:r>
    </w:p>
    <w:p>
      <w:pPr>
        <w:spacing w:after="100" w:line="252" w:lineRule="auto"/>
      </w:pPr>
      <w:r>
        <w:t>Lannett acquired a 3.6bn-dose plant producing about 1.4bn units, or roughly 39% of demonstrated capacity. The Seymour footprint includes about 425,000 square feet, including a 116,000 square foot leased distribution facility, more than 500 employees and roughly 70 active products. FY25 sales were US$306m, while management's post-close base objective is at least US$60m a quarter before new launches. The mismatch explains the initial dilution: the asset carries US labor, compliance and plant overhead without enough units moving through it. [S4–S6]</w:t>
      </w:r>
    </w:p>
    <w:p>
      <w:pPr>
        <w:spacing w:after="100" w:line="252" w:lineRule="auto"/>
      </w:pPr>
      <w:r>
        <w:t>The first-principles lever is throughput. At the disclosed FY25 revenue/output relationship, each 10 percentage points of utilization represents roughly US$76m of annual revenue capacity. At a 30% incremental contribution margin, that is about US$23m of incremental EBITDA before corporate allocation. The exact number will vary by product mix, but it shows why utilization matters more than headline acquisition multiples.</w:t>
      </w:r>
    </w:p>
    <w:p>
      <w:pPr>
        <w:spacing w:after="100" w:line="252" w:lineRule="auto"/>
      </w:pPr>
      <w:r>
        <w:t>Our base case raises utilization from 40% in FY27 to 47% in FY28 and 56% in FY29. Revenue reaches US$265m in FY28 and US$305m in FY29, close to Lannett's FY25 sales despite the four FTC divestitures. EBITDA margin rises from 12% in FY27 to 16% in FY28 and 19% in FY29. The 12–18 month turnaround therefore means a return to a mid-teens margin first; it does not assume Aurobindo USA's 23–24% margin immediately.</w:t>
      </w:r>
    </w:p>
    <w:p>
      <w:pPr>
        <w:keepNext/>
        <w:spacing w:before="160" w:after="40"/>
      </w:pPr>
      <w:r>
        <w:rPr>
          <w:rFonts w:ascii="Arial" w:hAnsi="Arial"/>
          <w:b/>
          <w:color w:val="17365D"/>
          <w:sz w:val="20"/>
        </w:rPr>
        <w:t>Exhibit 3: Lannett utilization and margin</w:t>
      </w:r>
    </w:p>
    <w:p>
      <w:pPr>
        <w:keepNext/>
        <w:keepLines/>
      </w:pPr>
      <w:r>
        <w:drawing>
          <wp:inline xmlns:a="http://schemas.openxmlformats.org/drawingml/2006/main" xmlns:pic="http://schemas.openxmlformats.org/drawingml/2006/picture">
            <wp:extent cx="6126480" cy="2943994"/>
            <wp:docPr id="3" name="Picture 3"/>
            <wp:cNvGraphicFramePr>
              <a:graphicFrameLocks noChangeAspect="1"/>
            </wp:cNvGraphicFramePr>
            <a:graphic>
              <a:graphicData uri="http://schemas.openxmlformats.org/drawingml/2006/picture">
                <pic:pic>
                  <pic:nvPicPr>
                    <pic:cNvPr id="0" name="lannett_utilization.png"/>
                    <pic:cNvPicPr/>
                  </pic:nvPicPr>
                  <pic:blipFill>
                    <a:blip r:embed="rId13"/>
                    <a:stretch>
                      <a:fillRect/>
                    </a:stretch>
                  </pic:blipFill>
                  <pic:spPr>
                    <a:xfrm>
                      <a:off x="0" y="0"/>
                      <a:ext cx="6126480" cy="2943994"/>
                    </a:xfrm>
                    <a:prstGeom prst="rect"/>
                  </pic:spPr>
                </pic:pic>
              </a:graphicData>
            </a:graphic>
          </wp:inline>
        </w:drawing>
      </w:r>
    </w:p>
    <w:p>
      <w:pPr>
        <w:pStyle w:val="Caption"/>
        <w:jc w:val="left"/>
      </w:pPr>
      <w:r>
        <w:t>Source: Lannett transaction disclosure, Q1FY27 call and analyst estimates.</w:t>
      </w:r>
    </w:p>
    <w:p>
      <w:pPr>
        <w:pStyle w:val="Heading2"/>
      </w:pPr>
      <w:r>
        <w:t>ADHD adds value, but quota release is excluded</w:t>
      </w:r>
    </w:p>
    <w:p>
      <w:pPr>
        <w:spacing w:after="100" w:line="252" w:lineRule="auto"/>
      </w:pPr>
      <w:r>
        <w:t>The controlled-substance portfolio is strategically useful because it diversifies Aurobindo's US mix and requires domestic quota access. It is also the easiest part of the case to overstate. The transaction deck showed FY25 composition of 6% controlled products, 47% non-controlled products and 47% CMO. Management said controlled volumes cannot jump unless DEA quotas rise or a competitor fails. We therefore hold ADHD/controlled products at 8–10% of modelled Lannett revenue and apply 5% annual growth. The margin recovery comes from non-ADHD site transfers, CDMO work and fixed-cost absorption. [S4–S5]</w:t>
      </w:r>
    </w:p>
    <w:p>
      <w:pPr>
        <w:pStyle w:val="Heading2"/>
      </w:pPr>
      <w:r>
        <w:t>CBE-30 transfers arrive before PAS transfers</w:t>
      </w:r>
    </w:p>
    <w:p>
      <w:pPr>
        <w:spacing w:after="100" w:line="252" w:lineRule="auto"/>
      </w:pPr>
      <w:r>
        <w:t>A manufacturing-site change can follow a Changes Being Effected in 30 Days route or require a Prior Approval Supplement. Product-specific routes have not been disclosed. The model uses eight internal transfer programs, assigns five to CBE-30 with six-to-nine month lags and three to PAS with 15-to-18 month lags, then applies 65–85% probabilities. This produces US$25m of risk-adjusted transfer sales in FY28 and US$60m in FY29. The route matrix is an analyst scenario rather than a company transfer list.</w:t>
      </w:r>
    </w:p>
    <w:p>
      <w:pPr>
        <w:spacing w:after="100" w:line="252" w:lineRule="auto"/>
      </w:pPr>
      <w:r>
        <w:t>The FTC required Aurobindo to divest mycophenolate suspension, niacin ER, pilocarpine and rabeprazole. Those products are excluded from the transfer opportunity. [S7]</w:t>
      </w:r>
    </w:p>
    <w:p>
      <w:pPr>
        <w:pStyle w:val="Heading2"/>
      </w:pPr>
      <w:r>
        <w:t>The Seymour inspection does not remove risk, but it protects the timetable</w:t>
      </w:r>
    </w:p>
    <w:p>
      <w:pPr>
        <w:spacing w:after="100" w:line="252" w:lineRule="auto"/>
      </w:pPr>
      <w:r>
        <w:t>FDA inspected Seymour in August 2026 and issued four observations described by the company as procedural. A final classification remains a gating item. The base case assumes remediation inside the transfer timetable; an OAI would invalidate the FY28–29 ramp. [S8]</w:t>
      </w:r>
    </w:p>
    <w:p>
      <w:pPr>
        <w:pStyle w:val="Heading2"/>
      </w:pPr>
      <w:r>
        <w:t>Lannett valuation and failure test</w:t>
      </w:r>
    </w:p>
    <w:p>
      <w:pPr>
        <w:spacing w:after="100" w:line="252" w:lineRule="auto"/>
      </w:pPr>
      <w:r>
        <w:t>At ₹559cr FY29 EBITDA, the business earns a mid-teens pre-tax return on the approximate ₹2,100–2,300cr acquisition cost before central synergies. The call fails if utilization remains below 50% through FY29, if PAS transfers slip into FY30, or if DEA constraints coincide with weaker CDMO demand.</w:t>
      </w:r>
    </w:p>
    <w:p>
      <w:r>
        <w:br w:type="page"/>
      </w:r>
    </w:p>
    <w:p>
      <w:pPr>
        <w:pStyle w:val="Heading1"/>
      </w:pPr>
      <w:r>
        <w:t>2. FDA headwinds are less bumpy; respiratory offsets Eugia</w:t>
      </w:r>
    </w:p>
    <w:p>
      <w:pPr>
        <w:pStyle w:val="Heading2"/>
      </w:pPr>
      <w:r>
        <w:t>The quality signal has split into two different businesses</w:t>
      </w:r>
    </w:p>
    <w:p>
      <w:pPr>
        <w:spacing w:after="100" w:line="252" w:lineRule="auto"/>
      </w:pPr>
      <w:r>
        <w:t>The FDA read-through is no longer one company-wide score. Raleigh received a VAI classification and an EIR; the inspection is closed and pending inhaler, dermatology and transdermal applications can progress. Seymour's four observations were procedural. Recent peptide and API inspections ended with zero to three observations. By contrast, Eugia Units I, II and III are OAI, Unit I has a Warning Letter, and 52 ANDAs sit under review across those three units. [S8–S12]</w:t>
      </w:r>
    </w:p>
    <w:p>
      <w:pPr>
        <w:spacing w:after="100" w:line="252" w:lineRule="auto"/>
      </w:pPr>
      <w:r>
        <w:t>This is why we use the phrase less bumpy. The probability of a broad non-sterile approval stop has fallen. The sterile launch pipeline remains constrained, and existing supply is not the same as new approvals. Unit I contributes around 2% of group revenue and current supply continues, which limits the immediate P&amp;L shock; Unit III's 40 pending ANDAs create the larger opportunity cost. [S3, S10–S11]</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F6B78"/>
          </w:tcPr>
          <w:p>
            <w:pPr>
              <w:jc w:val="center"/>
            </w:pPr>
            <w:r/>
            <w:r>
              <w:rPr>
                <w:rFonts w:ascii="Arial" w:hAnsi="Arial"/>
                <w:b/>
                <w:color w:val="FFFFFF"/>
                <w:sz w:val="16"/>
              </w:rPr>
              <w:t>Site</w:t>
            </w:r>
          </w:p>
        </w:tc>
        <w:tc>
          <w:tcPr>
            <w:tcW w:type="dxa" w:w="2520"/>
            <w:vAlign w:val="center"/>
            <w:shd w:fill="0F6B78"/>
          </w:tcPr>
          <w:p>
            <w:pPr>
              <w:jc w:val="center"/>
            </w:pPr>
            <w:r/>
            <w:r>
              <w:rPr>
                <w:rFonts w:ascii="Arial" w:hAnsi="Arial"/>
                <w:b/>
                <w:color w:val="FFFFFF"/>
                <w:sz w:val="16"/>
              </w:rPr>
              <w:t>Status</w:t>
            </w:r>
          </w:p>
        </w:tc>
        <w:tc>
          <w:tcPr>
            <w:tcW w:type="dxa" w:w="2520"/>
            <w:vAlign w:val="center"/>
            <w:shd w:fill="0F6B78"/>
          </w:tcPr>
          <w:p>
            <w:pPr>
              <w:jc w:val="center"/>
            </w:pPr>
            <w:r/>
            <w:r>
              <w:rPr>
                <w:rFonts w:ascii="Arial" w:hAnsi="Arial"/>
                <w:b/>
                <w:color w:val="FFFFFF"/>
                <w:sz w:val="16"/>
              </w:rPr>
              <w:t>Role</w:t>
            </w:r>
          </w:p>
        </w:tc>
        <w:tc>
          <w:tcPr>
            <w:tcW w:type="dxa" w:w="2520"/>
            <w:vAlign w:val="center"/>
            <w:shd w:fill="0F6B78"/>
          </w:tcPr>
          <w:p>
            <w:pPr>
              <w:jc w:val="center"/>
            </w:pPr>
            <w:r/>
            <w:r>
              <w:rPr>
                <w:rFonts w:ascii="Arial" w:hAnsi="Arial"/>
                <w:b/>
                <w:color w:val="FFFFFF"/>
                <w:sz w:val="16"/>
              </w:rPr>
              <w:t>Model read-through</w:t>
            </w:r>
          </w:p>
        </w:tc>
      </w:tr>
      <w:tr>
        <w:tc>
          <w:tcPr>
            <w:tcW w:type="dxa" w:w="2520"/>
            <w:vAlign w:val="center"/>
          </w:tcPr>
          <w:p>
            <w:r/>
            <w:r>
              <w:rPr>
                <w:rFonts w:ascii="Arial" w:hAnsi="Arial"/>
                <w:b/>
                <w:sz w:val="16"/>
              </w:rPr>
              <w:t>Raleigh</w:t>
            </w:r>
          </w:p>
        </w:tc>
        <w:tc>
          <w:tcPr>
            <w:tcW w:type="dxa" w:w="2520"/>
            <w:vAlign w:val="center"/>
          </w:tcPr>
          <w:p>
            <w:r/>
            <w:r>
              <w:rPr>
                <w:rFonts w:ascii="Arial" w:hAnsi="Arial"/>
                <w:b w:val="0"/>
                <w:sz w:val="16"/>
              </w:rPr>
              <w:t>VAI / EIR closed</w:t>
            </w:r>
          </w:p>
        </w:tc>
        <w:tc>
          <w:tcPr>
            <w:tcW w:type="dxa" w:w="2520"/>
            <w:vAlign w:val="center"/>
          </w:tcPr>
          <w:p>
            <w:r/>
            <w:r>
              <w:rPr>
                <w:rFonts w:ascii="Arial" w:hAnsi="Arial"/>
                <w:b w:val="0"/>
                <w:sz w:val="16"/>
              </w:rPr>
              <w:t>Inhalers, derma, transdermal</w:t>
            </w:r>
          </w:p>
        </w:tc>
        <w:tc>
          <w:tcPr>
            <w:tcW w:type="dxa" w:w="2520"/>
            <w:vAlign w:val="center"/>
          </w:tcPr>
          <w:p>
            <w:r/>
            <w:r>
              <w:rPr>
                <w:rFonts w:ascii="Arial" w:hAnsi="Arial"/>
                <w:b w:val="0"/>
                <w:sz w:val="16"/>
              </w:rPr>
              <w:t>Applications can progress</w:t>
            </w:r>
          </w:p>
        </w:tc>
      </w:tr>
      <w:tr>
        <w:tc>
          <w:tcPr>
            <w:tcW w:type="dxa" w:w="2520"/>
            <w:vAlign w:val="center"/>
            <w:shd w:fill="F3F6F8"/>
          </w:tcPr>
          <w:p>
            <w:r/>
            <w:r>
              <w:rPr>
                <w:rFonts w:ascii="Arial" w:hAnsi="Arial"/>
                <w:b/>
                <w:sz w:val="16"/>
              </w:rPr>
              <w:t>Seymour</w:t>
            </w:r>
          </w:p>
        </w:tc>
        <w:tc>
          <w:tcPr>
            <w:tcW w:type="dxa" w:w="2520"/>
            <w:vAlign w:val="center"/>
            <w:shd w:fill="F3F6F8"/>
          </w:tcPr>
          <w:p>
            <w:r/>
            <w:r>
              <w:rPr>
                <w:rFonts w:ascii="Arial" w:hAnsi="Arial"/>
                <w:b w:val="0"/>
                <w:sz w:val="16"/>
              </w:rPr>
              <w:t>4 procedural observations</w:t>
            </w:r>
          </w:p>
        </w:tc>
        <w:tc>
          <w:tcPr>
            <w:tcW w:type="dxa" w:w="2520"/>
            <w:vAlign w:val="center"/>
            <w:shd w:fill="F3F6F8"/>
          </w:tcPr>
          <w:p>
            <w:r/>
            <w:r>
              <w:rPr>
                <w:rFonts w:ascii="Arial" w:hAnsi="Arial"/>
                <w:b w:val="0"/>
                <w:sz w:val="16"/>
              </w:rPr>
              <w:t>Oral solids / controlled</w:t>
            </w:r>
          </w:p>
        </w:tc>
        <w:tc>
          <w:tcPr>
            <w:tcW w:type="dxa" w:w="2520"/>
            <w:vAlign w:val="center"/>
            <w:shd w:fill="F3F6F8"/>
          </w:tcPr>
          <w:p>
            <w:r/>
            <w:r>
              <w:rPr>
                <w:rFonts w:ascii="Arial" w:hAnsi="Arial"/>
                <w:b w:val="0"/>
                <w:sz w:val="16"/>
              </w:rPr>
              <w:t>Classification pending</w:t>
            </w:r>
          </w:p>
        </w:tc>
      </w:tr>
      <w:tr>
        <w:tc>
          <w:tcPr>
            <w:tcW w:type="dxa" w:w="2520"/>
            <w:vAlign w:val="center"/>
          </w:tcPr>
          <w:p>
            <w:r/>
            <w:r>
              <w:rPr>
                <w:rFonts w:ascii="Arial" w:hAnsi="Arial"/>
                <w:b/>
                <w:sz w:val="16"/>
              </w:rPr>
              <w:t>API / peptide sites</w:t>
            </w:r>
          </w:p>
        </w:tc>
        <w:tc>
          <w:tcPr>
            <w:tcW w:type="dxa" w:w="2520"/>
            <w:vAlign w:val="center"/>
          </w:tcPr>
          <w:p>
            <w:r/>
            <w:r>
              <w:rPr>
                <w:rFonts w:ascii="Arial" w:hAnsi="Arial"/>
                <w:b w:val="0"/>
                <w:sz w:val="16"/>
              </w:rPr>
              <w:t>0–3 recent observations</w:t>
            </w:r>
          </w:p>
        </w:tc>
        <w:tc>
          <w:tcPr>
            <w:tcW w:type="dxa" w:w="2520"/>
            <w:vAlign w:val="center"/>
          </w:tcPr>
          <w:p>
            <w:r/>
            <w:r>
              <w:rPr>
                <w:rFonts w:ascii="Arial" w:hAnsi="Arial"/>
                <w:b w:val="0"/>
                <w:sz w:val="16"/>
              </w:rPr>
              <w:t>Inputs and peptides</w:t>
            </w:r>
          </w:p>
        </w:tc>
        <w:tc>
          <w:tcPr>
            <w:tcW w:type="dxa" w:w="2520"/>
            <w:vAlign w:val="center"/>
          </w:tcPr>
          <w:p>
            <w:r/>
            <w:r>
              <w:rPr>
                <w:rFonts w:ascii="Arial" w:hAnsi="Arial"/>
                <w:b w:val="0"/>
                <w:sz w:val="16"/>
              </w:rPr>
              <w:t>Lower broad risk</w:t>
            </w:r>
          </w:p>
        </w:tc>
      </w:tr>
      <w:tr>
        <w:tc>
          <w:tcPr>
            <w:tcW w:type="dxa" w:w="2520"/>
            <w:vAlign w:val="center"/>
            <w:shd w:fill="F3F6F8"/>
          </w:tcPr>
          <w:p>
            <w:r/>
            <w:r>
              <w:rPr>
                <w:rFonts w:ascii="Arial" w:hAnsi="Arial"/>
                <w:b/>
                <w:sz w:val="16"/>
              </w:rPr>
              <w:t>Eugia I</w:t>
            </w:r>
          </w:p>
        </w:tc>
        <w:tc>
          <w:tcPr>
            <w:tcW w:type="dxa" w:w="2520"/>
            <w:vAlign w:val="center"/>
            <w:shd w:fill="F3F6F8"/>
          </w:tcPr>
          <w:p>
            <w:r/>
            <w:r>
              <w:rPr>
                <w:rFonts w:ascii="Arial" w:hAnsi="Arial"/>
                <w:b w:val="0"/>
                <w:sz w:val="16"/>
              </w:rPr>
              <w:t>OAI + Warning Letter</w:t>
            </w:r>
          </w:p>
        </w:tc>
        <w:tc>
          <w:tcPr>
            <w:tcW w:type="dxa" w:w="2520"/>
            <w:vAlign w:val="center"/>
            <w:shd w:fill="F3F6F8"/>
          </w:tcPr>
          <w:p>
            <w:r/>
            <w:r>
              <w:rPr>
                <w:rFonts w:ascii="Arial" w:hAnsi="Arial"/>
                <w:b w:val="0"/>
                <w:sz w:val="16"/>
              </w:rPr>
              <w:t>Sterile</w:t>
            </w:r>
          </w:p>
        </w:tc>
        <w:tc>
          <w:tcPr>
            <w:tcW w:type="dxa" w:w="2520"/>
            <w:vAlign w:val="center"/>
            <w:shd w:fill="F3F6F8"/>
          </w:tcPr>
          <w:p>
            <w:r/>
            <w:r>
              <w:rPr>
                <w:rFonts w:ascii="Arial" w:hAnsi="Arial"/>
                <w:b w:val="0"/>
                <w:sz w:val="16"/>
              </w:rPr>
              <w:t>Existing supply unchanged; ~2% group sales</w:t>
            </w:r>
          </w:p>
        </w:tc>
      </w:tr>
      <w:tr>
        <w:tc>
          <w:tcPr>
            <w:tcW w:type="dxa" w:w="2520"/>
            <w:vAlign w:val="center"/>
          </w:tcPr>
          <w:p>
            <w:r/>
            <w:r>
              <w:rPr>
                <w:rFonts w:ascii="Arial" w:hAnsi="Arial"/>
                <w:b/>
                <w:sz w:val="16"/>
              </w:rPr>
              <w:t>Eugia II</w:t>
            </w:r>
          </w:p>
        </w:tc>
        <w:tc>
          <w:tcPr>
            <w:tcW w:type="dxa" w:w="2520"/>
            <w:vAlign w:val="center"/>
          </w:tcPr>
          <w:p>
            <w:r/>
            <w:r>
              <w:rPr>
                <w:rFonts w:ascii="Arial" w:hAnsi="Arial"/>
                <w:b w:val="0"/>
                <w:sz w:val="16"/>
              </w:rPr>
              <w:t>OAI</w:t>
            </w:r>
          </w:p>
        </w:tc>
        <w:tc>
          <w:tcPr>
            <w:tcW w:type="dxa" w:w="2520"/>
            <w:vAlign w:val="center"/>
          </w:tcPr>
          <w:p>
            <w:r/>
            <w:r>
              <w:rPr>
                <w:rFonts w:ascii="Arial" w:hAnsi="Arial"/>
                <w:b w:val="0"/>
                <w:sz w:val="16"/>
              </w:rPr>
              <w:t>Sterile</w:t>
            </w:r>
          </w:p>
        </w:tc>
        <w:tc>
          <w:tcPr>
            <w:tcW w:type="dxa" w:w="2520"/>
            <w:vAlign w:val="center"/>
          </w:tcPr>
          <w:p>
            <w:r/>
            <w:r>
              <w:rPr>
                <w:rFonts w:ascii="Arial" w:hAnsi="Arial"/>
                <w:b w:val="0"/>
                <w:sz w:val="16"/>
              </w:rPr>
              <w:t>New approvals constrained</w:t>
            </w:r>
          </w:p>
        </w:tc>
      </w:tr>
      <w:tr>
        <w:tc>
          <w:tcPr>
            <w:tcW w:type="dxa" w:w="2520"/>
            <w:vAlign w:val="center"/>
            <w:shd w:fill="F3F6F8"/>
          </w:tcPr>
          <w:p>
            <w:r/>
            <w:r>
              <w:rPr>
                <w:rFonts w:ascii="Arial" w:hAnsi="Arial"/>
                <w:b/>
                <w:sz w:val="16"/>
              </w:rPr>
              <w:t>Eugia III</w:t>
            </w:r>
          </w:p>
        </w:tc>
        <w:tc>
          <w:tcPr>
            <w:tcW w:type="dxa" w:w="2520"/>
            <w:vAlign w:val="center"/>
            <w:shd w:fill="F3F6F8"/>
          </w:tcPr>
          <w:p>
            <w:r/>
            <w:r>
              <w:rPr>
                <w:rFonts w:ascii="Arial" w:hAnsi="Arial"/>
                <w:b w:val="0"/>
                <w:sz w:val="16"/>
              </w:rPr>
              <w:t>OAI</w:t>
            </w:r>
          </w:p>
        </w:tc>
        <w:tc>
          <w:tcPr>
            <w:tcW w:type="dxa" w:w="2520"/>
            <w:vAlign w:val="center"/>
            <w:shd w:fill="F3F6F8"/>
          </w:tcPr>
          <w:p>
            <w:r/>
            <w:r>
              <w:rPr>
                <w:rFonts w:ascii="Arial" w:hAnsi="Arial"/>
                <w:b w:val="0"/>
                <w:sz w:val="16"/>
              </w:rPr>
              <w:t>Sterile</w:t>
            </w:r>
          </w:p>
        </w:tc>
        <w:tc>
          <w:tcPr>
            <w:tcW w:type="dxa" w:w="2520"/>
            <w:vAlign w:val="center"/>
            <w:shd w:fill="F3F6F8"/>
          </w:tcPr>
          <w:p>
            <w:r/>
            <w:r>
              <w:rPr>
                <w:rFonts w:ascii="Arial" w:hAnsi="Arial"/>
                <w:b w:val="0"/>
                <w:sz w:val="16"/>
              </w:rPr>
              <w:t>40 pending ANDAs affected</w:t>
            </w:r>
          </w:p>
        </w:tc>
      </w:tr>
    </w:tbl>
    <w:p>
      <w:pPr>
        <w:pStyle w:val="Heading2"/>
      </w:pPr>
      <w:r>
        <w:t>Advair monetizes first; QVAR proves the MDI platform</w:t>
      </w:r>
    </w:p>
    <w:p>
      <w:pPr>
        <w:spacing w:after="100" w:line="252" w:lineRule="auto"/>
      </w:pPr>
      <w:r>
        <w:t>Lannett launched generic Advair Diskus in 100/50 and 250/50 strengths on 31 August. The disclosed reference market was US$908m. We model US$10m sales in FY27 and US$30m in FY28, below a 5% value share after adjusting for only two strengths, market erosion and multiple competitors. [S14]</w:t>
      </w:r>
    </w:p>
    <w:p>
      <w:pPr>
        <w:spacing w:after="100" w:line="252" w:lineRule="auto"/>
      </w:pPr>
      <w:r>
        <w:t>Aurobindo then received final approval for beclomethasone HFA 40mcg and 80mcg, its first US metered-dose inhaler. The product will be made at Raleigh, and the disclosed market for the approved product plus newer QVAR versions was US$301m. QVAR RediHaler is a different breath-actuated presentation, so the full US$301m is not directly substitutable. We apply a 35% accessible-market factor and model US$12m sales in FY28. [S13]</w:t>
      </w:r>
    </w:p>
    <w:p>
      <w:pPr>
        <w:spacing w:after="100" w:line="252" w:lineRule="auto"/>
      </w:pPr>
      <w:r>
        <w:t>Cipla's model-informed, in-silico filing work is relevant to the regulatory route for complex inhalers, but it does not establish substitutability across devices or Aurobindo's timing for a new RLD case. Manager input indicates outsourced device components with fill-finish and assembly at Raleigh. Public disclosure verifies Raleigh manufacturing; the make-versus-buy split remains an operating assumption and receives no separate valuation credit.</w:t>
      </w:r>
    </w:p>
    <w:p>
      <w:pPr>
        <w:spacing w:after="100" w:line="252" w:lineRule="auto"/>
      </w:pPr>
      <w:r>
        <w:t>Spiriva and Flovent remain development programs. We give Spiriva US$16m in FY29 and Flovent no sales until FY30. No other respiratory product contributes before FY31.</w:t>
      </w:r>
    </w:p>
    <w:p>
      <w:pPr>
        <w:keepNext/>
        <w:spacing w:before="160" w:after="40"/>
      </w:pPr>
      <w:r>
        <w:rPr>
          <w:rFonts w:ascii="Arial" w:hAnsi="Arial"/>
          <w:b/>
          <w:color w:val="17365D"/>
          <w:sz w:val="20"/>
        </w:rPr>
        <w:t>Exhibit 4: Respiratory vs Eugia</w:t>
      </w:r>
    </w:p>
    <w:p>
      <w:pPr>
        <w:keepNext/>
        <w:keepLines/>
      </w:pPr>
      <w:r>
        <w:drawing>
          <wp:inline xmlns:a="http://schemas.openxmlformats.org/drawingml/2006/main" xmlns:pic="http://schemas.openxmlformats.org/drawingml/2006/picture">
            <wp:extent cx="6126480" cy="2942116"/>
            <wp:docPr id="4" name="Picture 4"/>
            <wp:cNvGraphicFramePr>
              <a:graphicFrameLocks noChangeAspect="1"/>
            </wp:cNvGraphicFramePr>
            <a:graphic>
              <a:graphicData uri="http://schemas.openxmlformats.org/drawingml/2006/picture">
                <pic:pic>
                  <pic:nvPicPr>
                    <pic:cNvPr id="0" name="resp_eugia.png"/>
                    <pic:cNvPicPr/>
                  </pic:nvPicPr>
                  <pic:blipFill>
                    <a:blip r:embed="rId14"/>
                    <a:stretch>
                      <a:fillRect/>
                    </a:stretch>
                  </pic:blipFill>
                  <pic:spPr>
                    <a:xfrm>
                      <a:off x="0" y="0"/>
                      <a:ext cx="6126480" cy="2942116"/>
                    </a:xfrm>
                    <a:prstGeom prst="rect"/>
                  </pic:spPr>
                </pic:pic>
              </a:graphicData>
            </a:graphic>
          </wp:inline>
        </w:drawing>
      </w:r>
    </w:p>
    <w:p>
      <w:pPr>
        <w:pStyle w:val="Caption"/>
        <w:jc w:val="left"/>
      </w:pPr>
      <w:r>
        <w:t>Source: company disclosures and analyst estimates. Eugia drag is the EBITDA difference versus an unconstrained approval case.</w:t>
      </w:r>
    </w:p>
    <w:p>
      <w:pPr>
        <w:pStyle w:val="Heading2"/>
      </w:pPr>
      <w:r>
        <w:t>The offset point is FY29, not FY27</w:t>
      </w:r>
    </w:p>
    <w:p>
      <w:pPr>
        <w:spacing w:after="100" w:line="252" w:lineRule="auto"/>
      </w:pPr>
      <w:r>
        <w:t>Respiratory EBITDA is only US$2m in FY27 against a modelled US$15m Eugia delay drag. It reaches US$24m in FY29 against a US$20m drag. The portfolio therefore offsets the sterile approval block in FY29 even without a full Eugia remediation. If Eugia recovers earlier, the upside comes through approvals rather than the respiratory case.</w:t>
      </w:r>
    </w:p>
    <w:p>
      <w:r>
        <w:br w:type="page"/>
      </w:r>
    </w:p>
    <w:p>
      <w:pPr>
        <w:pStyle w:val="Heading1"/>
      </w:pPr>
      <w:r>
        <w:t>3. Pen-G breakout: external sales, captive savings and PLI</w:t>
      </w:r>
    </w:p>
    <w:p>
      <w:pPr>
        <w:pStyle w:val="Heading2"/>
      </w:pPr>
      <w:r>
        <w:t>A 15,000MT plant has three profit pools, and only one is subsidy</w:t>
      </w:r>
    </w:p>
    <w:p>
      <w:pPr>
        <w:spacing w:after="100" w:line="252" w:lineRule="auto"/>
      </w:pPr>
      <w:r>
        <w:t>Lyfius has installed 15,000MT of Penicillin G capacity at Kakinada after ₹2,270cr of investment. Government data show more than 90% domestic value addition and ₹1,191cr of cumulative production. Management reported an 800–900 tonne monthly run-rate in Q1, supplies to large Indian customers, conversion into 6-APA and amoxicillin, and export activity. [S4, S15]</w:t>
      </w:r>
    </w:p>
    <w:p>
      <w:pPr>
        <w:spacing w:after="100" w:line="252" w:lineRule="auto"/>
      </w:pPr>
      <w:r>
        <w:t>The model separates three pools. External domestic/export volume creates reported revenue. Captive volume does not create consolidated revenue; it reduces the cost and volatility of 6-APA, amoxicillin and finished-dose production. PLI is shown as other operating benefit and expires from the terminal case. This separation avoids the common error of counting captive transfer value as both sales and savings.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0F6B78"/>
          </w:tcPr>
          <w:p>
            <w:pPr>
              <w:jc w:val="center"/>
            </w:pPr>
            <w:r/>
            <w:r>
              <w:rPr>
                <w:rFonts w:ascii="Arial" w:hAnsi="Arial"/>
                <w:b/>
                <w:color w:val="FFFFFF"/>
                <w:sz w:val="15"/>
              </w:rPr>
              <w:t>Year</w:t>
            </w:r>
          </w:p>
        </w:tc>
        <w:tc>
          <w:tcPr>
            <w:tcW w:type="dxa" w:w="1440"/>
            <w:vAlign w:val="center"/>
            <w:shd w:fill="0F6B78"/>
          </w:tcPr>
          <w:p>
            <w:pPr>
              <w:jc w:val="center"/>
            </w:pPr>
            <w:r/>
            <w:r>
              <w:rPr>
                <w:rFonts w:ascii="Arial" w:hAnsi="Arial"/>
                <w:b/>
                <w:color w:val="FFFFFF"/>
                <w:sz w:val="15"/>
              </w:rPr>
              <w:t>Production MT</w:t>
            </w:r>
          </w:p>
        </w:tc>
        <w:tc>
          <w:tcPr>
            <w:tcW w:type="dxa" w:w="1440"/>
            <w:vAlign w:val="center"/>
            <w:shd w:fill="0F6B78"/>
          </w:tcPr>
          <w:p>
            <w:pPr>
              <w:jc w:val="center"/>
            </w:pPr>
            <w:r/>
            <w:r>
              <w:rPr>
                <w:rFonts w:ascii="Arial" w:hAnsi="Arial"/>
                <w:b/>
                <w:color w:val="FFFFFF"/>
                <w:sz w:val="15"/>
              </w:rPr>
              <w:t>Utilization</w:t>
            </w:r>
          </w:p>
        </w:tc>
        <w:tc>
          <w:tcPr>
            <w:tcW w:type="dxa" w:w="1440"/>
            <w:vAlign w:val="center"/>
            <w:shd w:fill="0F6B78"/>
          </w:tcPr>
          <w:p>
            <w:pPr>
              <w:jc w:val="center"/>
            </w:pPr>
            <w:r/>
            <w:r>
              <w:rPr>
                <w:rFonts w:ascii="Arial" w:hAnsi="Arial"/>
                <w:b/>
                <w:color w:val="FFFFFF"/>
                <w:sz w:val="15"/>
              </w:rPr>
              <w:t>External sales</w:t>
            </w:r>
          </w:p>
        </w:tc>
        <w:tc>
          <w:tcPr>
            <w:tcW w:type="dxa" w:w="1440"/>
            <w:vAlign w:val="center"/>
            <w:shd w:fill="0F6B78"/>
          </w:tcPr>
          <w:p>
            <w:pPr>
              <w:jc w:val="center"/>
            </w:pPr>
            <w:r/>
            <w:r>
              <w:rPr>
                <w:rFonts w:ascii="Arial" w:hAnsi="Arial"/>
                <w:b/>
                <w:color w:val="FFFFFF"/>
                <w:sz w:val="15"/>
              </w:rPr>
              <w:t>EBITDA ex-PLI</w:t>
            </w:r>
          </w:p>
        </w:tc>
        <w:tc>
          <w:tcPr>
            <w:tcW w:type="dxa" w:w="1440"/>
            <w:vAlign w:val="center"/>
            <w:shd w:fill="0F6B78"/>
          </w:tcPr>
          <w:p>
            <w:pPr>
              <w:jc w:val="center"/>
            </w:pPr>
            <w:r/>
            <w:r>
              <w:rPr>
                <w:rFonts w:ascii="Arial" w:hAnsi="Arial"/>
                <w:b/>
                <w:color w:val="FFFFFF"/>
                <w:sz w:val="15"/>
              </w:rPr>
              <w:t>PLI</w:t>
            </w:r>
          </w:p>
        </w:tc>
        <w:tc>
          <w:tcPr>
            <w:tcW w:type="dxa" w:w="1440"/>
            <w:vAlign w:val="center"/>
            <w:shd w:fill="0F6B78"/>
          </w:tcPr>
          <w:p>
            <w:pPr>
              <w:jc w:val="center"/>
            </w:pPr>
            <w:r/>
            <w:r>
              <w:rPr>
                <w:rFonts w:ascii="Arial" w:hAnsi="Arial"/>
                <w:b/>
                <w:color w:val="FFFFFF"/>
                <w:sz w:val="15"/>
              </w:rPr>
              <w:t>Total EBITDA</w:t>
            </w:r>
          </w:p>
        </w:tc>
      </w:tr>
      <w:tr>
        <w:tc>
          <w:tcPr>
            <w:tcW w:type="dxa" w:w="1440"/>
            <w:vAlign w:val="center"/>
          </w:tcPr>
          <w:p>
            <w:r/>
            <w:r>
              <w:rPr>
                <w:rFonts w:ascii="Arial" w:hAnsi="Arial"/>
                <w:b/>
                <w:sz w:val="15"/>
              </w:rPr>
              <w:t>FY27E</w:t>
            </w:r>
          </w:p>
        </w:tc>
        <w:tc>
          <w:tcPr>
            <w:tcW w:type="dxa" w:w="1440"/>
            <w:vAlign w:val="center"/>
          </w:tcPr>
          <w:p>
            <w:r/>
            <w:r>
              <w:rPr>
                <w:rFonts w:ascii="Arial" w:hAnsi="Arial"/>
                <w:b w:val="0"/>
                <w:sz w:val="15"/>
              </w:rPr>
              <w:t>10,000</w:t>
            </w:r>
          </w:p>
        </w:tc>
        <w:tc>
          <w:tcPr>
            <w:tcW w:type="dxa" w:w="1440"/>
            <w:vAlign w:val="center"/>
          </w:tcPr>
          <w:p>
            <w:r/>
            <w:r>
              <w:rPr>
                <w:rFonts w:ascii="Arial" w:hAnsi="Arial"/>
                <w:b w:val="0"/>
                <w:sz w:val="15"/>
              </w:rPr>
              <w:t>66.7%</w:t>
            </w:r>
          </w:p>
        </w:tc>
        <w:tc>
          <w:tcPr>
            <w:tcW w:type="dxa" w:w="1440"/>
            <w:vAlign w:val="center"/>
          </w:tcPr>
          <w:p>
            <w:r/>
            <w:r>
              <w:rPr>
                <w:rFonts w:ascii="Arial" w:hAnsi="Arial"/>
                <w:b w:val="0"/>
                <w:sz w:val="15"/>
              </w:rPr>
              <w:t>₹832cr</w:t>
            </w:r>
          </w:p>
        </w:tc>
        <w:tc>
          <w:tcPr>
            <w:tcW w:type="dxa" w:w="1440"/>
            <w:vAlign w:val="center"/>
          </w:tcPr>
          <w:p>
            <w:r/>
            <w:r>
              <w:rPr>
                <w:rFonts w:ascii="Arial" w:hAnsi="Arial"/>
                <w:b w:val="0"/>
                <w:sz w:val="15"/>
              </w:rPr>
              <w:t>₹222cr</w:t>
            </w:r>
          </w:p>
        </w:tc>
        <w:tc>
          <w:tcPr>
            <w:tcW w:type="dxa" w:w="1440"/>
            <w:vAlign w:val="center"/>
          </w:tcPr>
          <w:p>
            <w:r/>
            <w:r>
              <w:rPr>
                <w:rFonts w:ascii="Arial" w:hAnsi="Arial"/>
                <w:b w:val="0"/>
                <w:sz w:val="15"/>
              </w:rPr>
              <w:t>₹240cr</w:t>
            </w:r>
          </w:p>
        </w:tc>
        <w:tc>
          <w:tcPr>
            <w:tcW w:type="dxa" w:w="1440"/>
            <w:vAlign w:val="center"/>
          </w:tcPr>
          <w:p>
            <w:r/>
            <w:r>
              <w:rPr>
                <w:rFonts w:ascii="Arial" w:hAnsi="Arial"/>
                <w:b w:val="0"/>
                <w:sz w:val="15"/>
              </w:rPr>
              <w:t>₹462cr</w:t>
            </w:r>
          </w:p>
        </w:tc>
      </w:tr>
      <w:tr>
        <w:tc>
          <w:tcPr>
            <w:tcW w:type="dxa" w:w="1440"/>
            <w:vAlign w:val="center"/>
            <w:shd w:fill="F3F6F8"/>
          </w:tcPr>
          <w:p>
            <w:r/>
            <w:r>
              <w:rPr>
                <w:rFonts w:ascii="Arial" w:hAnsi="Arial"/>
                <w:b/>
                <w:sz w:val="15"/>
              </w:rPr>
              <w:t>FY28E</w:t>
            </w:r>
          </w:p>
        </w:tc>
        <w:tc>
          <w:tcPr>
            <w:tcW w:type="dxa" w:w="1440"/>
            <w:vAlign w:val="center"/>
            <w:shd w:fill="F3F6F8"/>
          </w:tcPr>
          <w:p>
            <w:r/>
            <w:r>
              <w:rPr>
                <w:rFonts w:ascii="Arial" w:hAnsi="Arial"/>
                <w:b w:val="0"/>
                <w:sz w:val="15"/>
              </w:rPr>
              <w:t>12,000</w:t>
            </w:r>
          </w:p>
        </w:tc>
        <w:tc>
          <w:tcPr>
            <w:tcW w:type="dxa" w:w="1440"/>
            <w:vAlign w:val="center"/>
            <w:shd w:fill="F3F6F8"/>
          </w:tcPr>
          <w:p>
            <w:r/>
            <w:r>
              <w:rPr>
                <w:rFonts w:ascii="Arial" w:hAnsi="Arial"/>
                <w:b w:val="0"/>
                <w:sz w:val="15"/>
              </w:rPr>
              <w:t>80.0%</w:t>
            </w:r>
          </w:p>
        </w:tc>
        <w:tc>
          <w:tcPr>
            <w:tcW w:type="dxa" w:w="1440"/>
            <w:vAlign w:val="center"/>
            <w:shd w:fill="F3F6F8"/>
          </w:tcPr>
          <w:p>
            <w:r/>
            <w:r>
              <w:rPr>
                <w:rFonts w:ascii="Arial" w:hAnsi="Arial"/>
                <w:b w:val="0"/>
                <w:sz w:val="15"/>
              </w:rPr>
              <w:t>₹1,242cr</w:t>
            </w:r>
          </w:p>
        </w:tc>
        <w:tc>
          <w:tcPr>
            <w:tcW w:type="dxa" w:w="1440"/>
            <w:vAlign w:val="center"/>
            <w:shd w:fill="F3F6F8"/>
          </w:tcPr>
          <w:p>
            <w:r/>
            <w:r>
              <w:rPr>
                <w:rFonts w:ascii="Arial" w:hAnsi="Arial"/>
                <w:b w:val="0"/>
                <w:sz w:val="15"/>
              </w:rPr>
              <w:t>₹332cr</w:t>
            </w:r>
          </w:p>
        </w:tc>
        <w:tc>
          <w:tcPr>
            <w:tcW w:type="dxa" w:w="1440"/>
            <w:vAlign w:val="center"/>
            <w:shd w:fill="F3F6F8"/>
          </w:tcPr>
          <w:p>
            <w:r/>
            <w:r>
              <w:rPr>
                <w:rFonts w:ascii="Arial" w:hAnsi="Arial"/>
                <w:b w:val="0"/>
                <w:sz w:val="15"/>
              </w:rPr>
              <w:t>₹216cr</w:t>
            </w:r>
          </w:p>
        </w:tc>
        <w:tc>
          <w:tcPr>
            <w:tcW w:type="dxa" w:w="1440"/>
            <w:vAlign w:val="center"/>
            <w:shd w:fill="F3F6F8"/>
          </w:tcPr>
          <w:p>
            <w:r/>
            <w:r>
              <w:rPr>
                <w:rFonts w:ascii="Arial" w:hAnsi="Arial"/>
                <w:b w:val="0"/>
                <w:sz w:val="15"/>
              </w:rPr>
              <w:t>₹548cr</w:t>
            </w:r>
          </w:p>
        </w:tc>
      </w:tr>
      <w:tr>
        <w:tc>
          <w:tcPr>
            <w:tcW w:type="dxa" w:w="1440"/>
            <w:vAlign w:val="center"/>
          </w:tcPr>
          <w:p>
            <w:r/>
            <w:r>
              <w:rPr>
                <w:rFonts w:ascii="Arial" w:hAnsi="Arial"/>
                <w:b/>
                <w:sz w:val="15"/>
              </w:rPr>
              <w:t>FY29E</w:t>
            </w:r>
          </w:p>
        </w:tc>
        <w:tc>
          <w:tcPr>
            <w:tcW w:type="dxa" w:w="1440"/>
            <w:vAlign w:val="center"/>
          </w:tcPr>
          <w:p>
            <w:r/>
            <w:r>
              <w:rPr>
                <w:rFonts w:ascii="Arial" w:hAnsi="Arial"/>
                <w:b w:val="0"/>
                <w:sz w:val="15"/>
              </w:rPr>
              <w:t>13,500</w:t>
            </w:r>
          </w:p>
        </w:tc>
        <w:tc>
          <w:tcPr>
            <w:tcW w:type="dxa" w:w="1440"/>
            <w:vAlign w:val="center"/>
          </w:tcPr>
          <w:p>
            <w:r/>
            <w:r>
              <w:rPr>
                <w:rFonts w:ascii="Arial" w:hAnsi="Arial"/>
                <w:b w:val="0"/>
                <w:sz w:val="15"/>
              </w:rPr>
              <w:t>90.0%</w:t>
            </w:r>
          </w:p>
        </w:tc>
        <w:tc>
          <w:tcPr>
            <w:tcW w:type="dxa" w:w="1440"/>
            <w:vAlign w:val="center"/>
          </w:tcPr>
          <w:p>
            <w:r/>
            <w:r>
              <w:rPr>
                <w:rFonts w:ascii="Arial" w:hAnsi="Arial"/>
                <w:b w:val="0"/>
                <w:sz w:val="15"/>
              </w:rPr>
              <w:t>₹1,522cr</w:t>
            </w:r>
          </w:p>
        </w:tc>
        <w:tc>
          <w:tcPr>
            <w:tcW w:type="dxa" w:w="1440"/>
            <w:vAlign w:val="center"/>
          </w:tcPr>
          <w:p>
            <w:r/>
            <w:r>
              <w:rPr>
                <w:rFonts w:ascii="Arial" w:hAnsi="Arial"/>
                <w:b w:val="0"/>
                <w:sz w:val="15"/>
              </w:rPr>
              <w:t>₹441cr</w:t>
            </w:r>
          </w:p>
        </w:tc>
        <w:tc>
          <w:tcPr>
            <w:tcW w:type="dxa" w:w="1440"/>
            <w:vAlign w:val="center"/>
          </w:tcPr>
          <w:p>
            <w:r/>
            <w:r>
              <w:rPr>
                <w:rFonts w:ascii="Arial" w:hAnsi="Arial"/>
                <w:b w:val="0"/>
                <w:sz w:val="15"/>
              </w:rPr>
              <w:t>₹81cr</w:t>
            </w:r>
          </w:p>
        </w:tc>
        <w:tc>
          <w:tcPr>
            <w:tcW w:type="dxa" w:w="1440"/>
            <w:vAlign w:val="center"/>
          </w:tcPr>
          <w:p>
            <w:r/>
            <w:r>
              <w:rPr>
                <w:rFonts w:ascii="Arial" w:hAnsi="Arial"/>
                <w:b w:val="0"/>
                <w:sz w:val="15"/>
              </w:rPr>
              <w:t>₹522cr</w:t>
            </w:r>
          </w:p>
        </w:tc>
      </w:tr>
      <w:tr>
        <w:tc>
          <w:tcPr>
            <w:tcW w:type="dxa" w:w="1440"/>
            <w:vAlign w:val="center"/>
            <w:shd w:fill="F3F6F8"/>
          </w:tcPr>
          <w:p>
            <w:r/>
            <w:r>
              <w:rPr>
                <w:rFonts w:ascii="Arial" w:hAnsi="Arial"/>
                <w:b/>
                <w:sz w:val="15"/>
              </w:rPr>
              <w:t>FY30E</w:t>
            </w:r>
          </w:p>
        </w:tc>
        <w:tc>
          <w:tcPr>
            <w:tcW w:type="dxa" w:w="1440"/>
            <w:vAlign w:val="center"/>
            <w:shd w:fill="F3F6F8"/>
          </w:tcPr>
          <w:p>
            <w:r/>
            <w:r>
              <w:rPr>
                <w:rFonts w:ascii="Arial" w:hAnsi="Arial"/>
                <w:b w:val="0"/>
                <w:sz w:val="15"/>
              </w:rPr>
              <w:t>14,500</w:t>
            </w:r>
          </w:p>
        </w:tc>
        <w:tc>
          <w:tcPr>
            <w:tcW w:type="dxa" w:w="1440"/>
            <w:vAlign w:val="center"/>
            <w:shd w:fill="F3F6F8"/>
          </w:tcPr>
          <w:p>
            <w:r/>
            <w:r>
              <w:rPr>
                <w:rFonts w:ascii="Arial" w:hAnsi="Arial"/>
                <w:b w:val="0"/>
                <w:sz w:val="15"/>
              </w:rPr>
              <w:t>96.7%</w:t>
            </w:r>
          </w:p>
        </w:tc>
        <w:tc>
          <w:tcPr>
            <w:tcW w:type="dxa" w:w="1440"/>
            <w:vAlign w:val="center"/>
            <w:shd w:fill="F3F6F8"/>
          </w:tcPr>
          <w:p>
            <w:r/>
            <w:r>
              <w:rPr>
                <w:rFonts w:ascii="Arial" w:hAnsi="Arial"/>
                <w:b w:val="0"/>
                <w:sz w:val="15"/>
              </w:rPr>
              <w:t>₹1,635cr</w:t>
            </w:r>
          </w:p>
        </w:tc>
        <w:tc>
          <w:tcPr>
            <w:tcW w:type="dxa" w:w="1440"/>
            <w:vAlign w:val="center"/>
            <w:shd w:fill="F3F6F8"/>
          </w:tcPr>
          <w:p>
            <w:r/>
            <w:r>
              <w:rPr>
                <w:rFonts w:ascii="Arial" w:hAnsi="Arial"/>
                <w:b w:val="0"/>
                <w:sz w:val="15"/>
              </w:rPr>
              <w:t>₹523cr</w:t>
            </w:r>
          </w:p>
        </w:tc>
        <w:tc>
          <w:tcPr>
            <w:tcW w:type="dxa" w:w="1440"/>
            <w:vAlign w:val="center"/>
            <w:shd w:fill="F3F6F8"/>
          </w:tcPr>
          <w:p>
            <w:r/>
            <w:r>
              <w:rPr>
                <w:rFonts w:ascii="Arial" w:hAnsi="Arial"/>
                <w:b w:val="0"/>
                <w:sz w:val="15"/>
              </w:rPr>
              <w:t>₹0cr</w:t>
            </w:r>
          </w:p>
        </w:tc>
        <w:tc>
          <w:tcPr>
            <w:tcW w:type="dxa" w:w="1440"/>
            <w:vAlign w:val="center"/>
            <w:shd w:fill="F3F6F8"/>
          </w:tcPr>
          <w:p>
            <w:r/>
            <w:r>
              <w:rPr>
                <w:rFonts w:ascii="Arial" w:hAnsi="Arial"/>
                <w:b w:val="0"/>
                <w:sz w:val="15"/>
              </w:rPr>
              <w:t>₹523cr</w:t>
            </w:r>
          </w:p>
        </w:tc>
      </w:tr>
      <w:tr>
        <w:tc>
          <w:tcPr>
            <w:tcW w:type="dxa" w:w="1440"/>
            <w:vAlign w:val="center"/>
          </w:tcPr>
          <w:p>
            <w:r/>
            <w:r>
              <w:rPr>
                <w:rFonts w:ascii="Arial" w:hAnsi="Arial"/>
                <w:b/>
                <w:sz w:val="15"/>
              </w:rPr>
              <w:t>FY31E</w:t>
            </w:r>
          </w:p>
        </w:tc>
        <w:tc>
          <w:tcPr>
            <w:tcW w:type="dxa" w:w="1440"/>
            <w:vAlign w:val="center"/>
          </w:tcPr>
          <w:p>
            <w:r/>
            <w:r>
              <w:rPr>
                <w:rFonts w:ascii="Arial" w:hAnsi="Arial"/>
                <w:b w:val="0"/>
                <w:sz w:val="15"/>
              </w:rPr>
              <w:t>15,000</w:t>
            </w:r>
          </w:p>
        </w:tc>
        <w:tc>
          <w:tcPr>
            <w:tcW w:type="dxa" w:w="1440"/>
            <w:vAlign w:val="center"/>
          </w:tcPr>
          <w:p>
            <w:r/>
            <w:r>
              <w:rPr>
                <w:rFonts w:ascii="Arial" w:hAnsi="Arial"/>
                <w:b w:val="0"/>
                <w:sz w:val="15"/>
              </w:rPr>
              <w:t>100.0%</w:t>
            </w:r>
          </w:p>
        </w:tc>
        <w:tc>
          <w:tcPr>
            <w:tcW w:type="dxa" w:w="1440"/>
            <w:vAlign w:val="center"/>
          </w:tcPr>
          <w:p>
            <w:r/>
            <w:r>
              <w:rPr>
                <w:rFonts w:ascii="Arial" w:hAnsi="Arial"/>
                <w:b w:val="0"/>
                <w:sz w:val="15"/>
              </w:rPr>
              <w:t>₹1,757cr</w:t>
            </w:r>
          </w:p>
        </w:tc>
        <w:tc>
          <w:tcPr>
            <w:tcW w:type="dxa" w:w="1440"/>
            <w:vAlign w:val="center"/>
          </w:tcPr>
          <w:p>
            <w:r/>
            <w:r>
              <w:rPr>
                <w:rFonts w:ascii="Arial" w:hAnsi="Arial"/>
                <w:b w:val="0"/>
                <w:sz w:val="15"/>
              </w:rPr>
              <w:t>₹574cr</w:t>
            </w:r>
          </w:p>
        </w:tc>
        <w:tc>
          <w:tcPr>
            <w:tcW w:type="dxa" w:w="1440"/>
            <w:vAlign w:val="center"/>
          </w:tcPr>
          <w:p>
            <w:r/>
            <w:r>
              <w:rPr>
                <w:rFonts w:ascii="Arial" w:hAnsi="Arial"/>
                <w:b w:val="0"/>
                <w:sz w:val="15"/>
              </w:rPr>
              <w:t>₹0cr</w:t>
            </w:r>
          </w:p>
        </w:tc>
        <w:tc>
          <w:tcPr>
            <w:tcW w:type="dxa" w:w="1440"/>
            <w:vAlign w:val="center"/>
          </w:tcPr>
          <w:p>
            <w:r/>
            <w:r>
              <w:rPr>
                <w:rFonts w:ascii="Arial" w:hAnsi="Arial"/>
                <w:b w:val="0"/>
                <w:sz w:val="15"/>
              </w:rPr>
              <w:t>₹574cr</w:t>
            </w:r>
          </w:p>
        </w:tc>
      </w:tr>
    </w:tbl>
    <w:p>
      <w:pPr>
        <w:keepNext/>
        <w:spacing w:before="160" w:after="40"/>
      </w:pPr>
      <w:r>
        <w:rPr>
          <w:rFonts w:ascii="Arial" w:hAnsi="Arial"/>
          <w:b/>
          <w:color w:val="17365D"/>
          <w:sz w:val="20"/>
        </w:rPr>
        <w:t>Exhibit 5: Pen-G EBITDA stack</w:t>
      </w:r>
    </w:p>
    <w:p>
      <w:pPr>
        <w:keepNext/>
        <w:keepLines/>
      </w:pPr>
      <w:r>
        <w:drawing>
          <wp:inline xmlns:a="http://schemas.openxmlformats.org/drawingml/2006/main" xmlns:pic="http://schemas.openxmlformats.org/drawingml/2006/picture">
            <wp:extent cx="6126480" cy="2943994"/>
            <wp:docPr id="5" name="Picture 5"/>
            <wp:cNvGraphicFramePr>
              <a:graphicFrameLocks noChangeAspect="1"/>
            </wp:cNvGraphicFramePr>
            <a:graphic>
              <a:graphicData uri="http://schemas.openxmlformats.org/drawingml/2006/picture">
                <pic:pic>
                  <pic:nvPicPr>
                    <pic:cNvPr id="0" name="pengi_ebitda.png"/>
                    <pic:cNvPicPr/>
                  </pic:nvPicPr>
                  <pic:blipFill>
                    <a:blip r:embed="rId15"/>
                    <a:stretch>
                      <a:fillRect/>
                    </a:stretch>
                  </pic:blipFill>
                  <pic:spPr>
                    <a:xfrm>
                      <a:off x="0" y="0"/>
                      <a:ext cx="6126480" cy="2943994"/>
                    </a:xfrm>
                    <a:prstGeom prst="rect"/>
                  </pic:spPr>
                </pic:pic>
              </a:graphicData>
            </a:graphic>
          </wp:inline>
        </w:drawing>
      </w:r>
    </w:p>
    <w:p>
      <w:pPr>
        <w:pStyle w:val="Caption"/>
        <w:jc w:val="left"/>
      </w:pPr>
      <w:r>
        <w:t>Source: Government of India, company commentary and analyst estimates.</w:t>
      </w:r>
    </w:p>
    <w:p>
      <w:pPr>
        <w:pStyle w:val="Heading2"/>
      </w:pPr>
      <w:r>
        <w:t>MIP supports domestic pricing; exports test the real cost curve</w:t>
      </w:r>
    </w:p>
    <w:p>
      <w:pPr>
        <w:spacing w:after="100" w:line="252" w:lineRule="auto"/>
      </w:pPr>
      <w:r>
        <w:t>DGFT set one-year minimum import prices of ₹2,216/kg for Pen-G, ₹3,405/kg for 6-APA and ₹2,733/kg for amoxicillin trihydrate. The policy makes Chinese import undercutting harder in the domestic tariff area. It does not protect export realizations or exempt supply channels. Our external export price is ₹1,850/kg, 17% below the domestic Pen-G floor. [S16]</w:t>
      </w:r>
    </w:p>
    <w:p>
      <w:pPr>
        <w:spacing w:after="100" w:line="252" w:lineRule="auto"/>
      </w:pPr>
      <w:r>
        <w:t>Production reaches 12,000MT in FY28 and 15,000MT in FY31. We do not include the 15–16k MT debottleneck in the base case. At FY30, after PLI has expired, external operating EBITDA plus captive savings reach about ₹523cr, or a 23% EBITDA return on the ₹2,270cr plant investment. This is the durable part of the thesis.</w:t>
      </w:r>
    </w:p>
    <w:p>
      <w:pPr>
        <w:pStyle w:val="Heading2"/>
      </w:pPr>
      <w:r>
        <w:t>PLI accelerates payback but does not support terminal value</w:t>
      </w:r>
    </w:p>
    <w:p>
      <w:pPr>
        <w:spacing w:after="100" w:line="252" w:lineRule="auto"/>
      </w:pPr>
      <w:r>
        <w:t>Management quantified PLI at ₹240cr per 10,000MT, proportionate to production. We reproduce that result in FY27, step the rate to 15% in FY28 and 5% in FY29, then set it to zero. [S17] The base case still produces ₹523cr EBITDA in FY30 without PLI.</w:t>
      </w:r>
    </w:p>
    <w:p>
      <w:pPr>
        <w:pStyle w:val="Heading2"/>
      </w:pPr>
      <w:r>
        <w:t>Failure test</w:t>
      </w:r>
    </w:p>
    <w:p>
      <w:pPr>
        <w:spacing w:after="100" w:line="252" w:lineRule="auto"/>
      </w:pPr>
      <w:r>
        <w:t>The Pen-G case fails if export prices fall below ₹1,650/kg while captive savings remain below ₹325/kg, or if utilization stalls below 70% after FY28. The workbook contains a two-way sensitivity for those variables.</w:t>
      </w:r>
    </w:p>
    <w:p>
      <w:r>
        <w:br w:type="page"/>
      </w:r>
    </w:p>
    <w:p>
      <w:pPr>
        <w:pStyle w:val="Heading1"/>
      </w:pPr>
      <w:r>
        <w:t>4. Biosimilars: second wave, sufficiently margin accretive</w:t>
      </w:r>
    </w:p>
    <w:p>
      <w:pPr>
        <w:pStyle w:val="Heading2"/>
      </w:pPr>
      <w:r>
        <w:t>Late entry limits share; returns depend on fixed-cost absorption</w:t>
      </w:r>
    </w:p>
    <w:p>
      <w:pPr>
        <w:spacing w:after="100" w:line="252" w:lineRule="auto"/>
      </w:pPr>
      <w:r>
        <w:t>Aurobindo will not be early in denosumab, omalizumab, bevacizumab or several follow-on molecules. FDA's list already contains multiple denosumab approvals. Price and tender share must therefore be conservative. [S18] The economic question is whether incremental products can absorb an existing biologics platform and use Aurobindo's European tender, regulatory and distribution infrastructure.</w:t>
      </w:r>
    </w:p>
    <w:p>
      <w:pPr>
        <w:spacing w:after="100" w:line="252" w:lineRule="auto"/>
      </w:pPr>
      <w:r>
        <w:t>Four products are already live across the UK, selected European countries and Mexico: Bevqolva, Zefylti, Dyrupeg and Dazublys. The route to market includes Aurobindo's own network, Orion and STADA. Management expects tender conversion to lag launch by two to three quarters. The model starts at US$35m FY27 sales and US$80m FY28, then adds denosumab, omalizumab, tocilizumab and ranibizumab. [S3–S4]</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F6B78"/>
          </w:tcPr>
          <w:p>
            <w:pPr>
              <w:jc w:val="center"/>
            </w:pPr>
            <w:r/>
            <w:r>
              <w:rPr>
                <w:rFonts w:ascii="Arial" w:hAnsi="Arial"/>
                <w:b/>
                <w:color w:val="FFFFFF"/>
                <w:sz w:val="16"/>
              </w:rPr>
              <w:t>Program</w:t>
            </w:r>
          </w:p>
        </w:tc>
        <w:tc>
          <w:tcPr>
            <w:tcW w:type="dxa" w:w="2520"/>
            <w:vAlign w:val="center"/>
            <w:shd w:fill="0F6B78"/>
          </w:tcPr>
          <w:p>
            <w:pPr>
              <w:jc w:val="center"/>
            </w:pPr>
            <w:r/>
            <w:r>
              <w:rPr>
                <w:rFonts w:ascii="Arial" w:hAnsi="Arial"/>
                <w:b/>
                <w:color w:val="FFFFFF"/>
                <w:sz w:val="16"/>
              </w:rPr>
              <w:t>Molecule</w:t>
            </w:r>
          </w:p>
        </w:tc>
        <w:tc>
          <w:tcPr>
            <w:tcW w:type="dxa" w:w="2520"/>
            <w:vAlign w:val="center"/>
            <w:shd w:fill="0F6B78"/>
          </w:tcPr>
          <w:p>
            <w:pPr>
              <w:jc w:val="center"/>
            </w:pPr>
            <w:r/>
            <w:r>
              <w:rPr>
                <w:rFonts w:ascii="Arial" w:hAnsi="Arial"/>
                <w:b/>
                <w:color w:val="FFFFFF"/>
                <w:sz w:val="16"/>
              </w:rPr>
              <w:t>Current stage</w:t>
            </w:r>
          </w:p>
        </w:tc>
        <w:tc>
          <w:tcPr>
            <w:tcW w:type="dxa" w:w="2520"/>
            <w:vAlign w:val="center"/>
            <w:shd w:fill="0F6B78"/>
          </w:tcPr>
          <w:p>
            <w:pPr>
              <w:jc w:val="center"/>
            </w:pPr>
            <w:r/>
            <w:r>
              <w:rPr>
                <w:rFonts w:ascii="Arial" w:hAnsi="Arial"/>
                <w:b/>
                <w:color w:val="FFFFFF"/>
                <w:sz w:val="16"/>
              </w:rPr>
              <w:t>Model timing</w:t>
            </w:r>
          </w:p>
        </w:tc>
      </w:tr>
      <w:tr>
        <w:tc>
          <w:tcPr>
            <w:tcW w:type="dxa" w:w="2520"/>
            <w:vAlign w:val="center"/>
          </w:tcPr>
          <w:p>
            <w:r/>
            <w:r>
              <w:rPr>
                <w:rFonts w:ascii="Arial" w:hAnsi="Arial"/>
                <w:b/>
                <w:sz w:val="16"/>
              </w:rPr>
              <w:t>Bevqolva</w:t>
            </w:r>
          </w:p>
        </w:tc>
        <w:tc>
          <w:tcPr>
            <w:tcW w:type="dxa" w:w="2520"/>
            <w:vAlign w:val="center"/>
          </w:tcPr>
          <w:p>
            <w:r/>
            <w:r>
              <w:rPr>
                <w:rFonts w:ascii="Arial" w:hAnsi="Arial"/>
                <w:b w:val="0"/>
                <w:sz w:val="16"/>
              </w:rPr>
              <w:t>Bevacizumab</w:t>
            </w:r>
          </w:p>
        </w:tc>
        <w:tc>
          <w:tcPr>
            <w:tcW w:type="dxa" w:w="2520"/>
            <w:vAlign w:val="center"/>
          </w:tcPr>
          <w:p>
            <w:r/>
            <w:r>
              <w:rPr>
                <w:rFonts w:ascii="Arial" w:hAnsi="Arial"/>
                <w:b w:val="0"/>
                <w:sz w:val="16"/>
              </w:rPr>
              <w:t>Launched</w:t>
            </w:r>
          </w:p>
        </w:tc>
        <w:tc>
          <w:tcPr>
            <w:tcW w:type="dxa" w:w="2520"/>
            <w:vAlign w:val="center"/>
          </w:tcPr>
          <w:p>
            <w:r/>
            <w:r>
              <w:rPr>
                <w:rFonts w:ascii="Arial" w:hAnsi="Arial"/>
                <w:b w:val="0"/>
                <w:sz w:val="16"/>
              </w:rPr>
              <w:t>UK/EU/Mexico</w:t>
            </w:r>
          </w:p>
        </w:tc>
      </w:tr>
      <w:tr>
        <w:tc>
          <w:tcPr>
            <w:tcW w:type="dxa" w:w="2520"/>
            <w:vAlign w:val="center"/>
            <w:shd w:fill="F3F6F8"/>
          </w:tcPr>
          <w:p>
            <w:r/>
            <w:r>
              <w:rPr>
                <w:rFonts w:ascii="Arial" w:hAnsi="Arial"/>
                <w:b/>
                <w:sz w:val="16"/>
              </w:rPr>
              <w:t>Zefylti</w:t>
            </w:r>
          </w:p>
        </w:tc>
        <w:tc>
          <w:tcPr>
            <w:tcW w:type="dxa" w:w="2520"/>
            <w:vAlign w:val="center"/>
            <w:shd w:fill="F3F6F8"/>
          </w:tcPr>
          <w:p>
            <w:r/>
            <w:r>
              <w:rPr>
                <w:rFonts w:ascii="Arial" w:hAnsi="Arial"/>
                <w:b w:val="0"/>
                <w:sz w:val="16"/>
              </w:rPr>
              <w:t>Filgrastim</w:t>
            </w:r>
          </w:p>
        </w:tc>
        <w:tc>
          <w:tcPr>
            <w:tcW w:type="dxa" w:w="2520"/>
            <w:vAlign w:val="center"/>
            <w:shd w:fill="F3F6F8"/>
          </w:tcPr>
          <w:p>
            <w:r/>
            <w:r>
              <w:rPr>
                <w:rFonts w:ascii="Arial" w:hAnsi="Arial"/>
                <w:b w:val="0"/>
                <w:sz w:val="16"/>
              </w:rPr>
              <w:t>Launched</w:t>
            </w:r>
          </w:p>
        </w:tc>
        <w:tc>
          <w:tcPr>
            <w:tcW w:type="dxa" w:w="2520"/>
            <w:vAlign w:val="center"/>
            <w:shd w:fill="F3F6F8"/>
          </w:tcPr>
          <w:p>
            <w:r/>
            <w:r>
              <w:rPr>
                <w:rFonts w:ascii="Arial" w:hAnsi="Arial"/>
                <w:b w:val="0"/>
                <w:sz w:val="16"/>
              </w:rPr>
              <w:t>UK/EU/Mexico</w:t>
            </w:r>
          </w:p>
        </w:tc>
      </w:tr>
      <w:tr>
        <w:tc>
          <w:tcPr>
            <w:tcW w:type="dxa" w:w="2520"/>
            <w:vAlign w:val="center"/>
          </w:tcPr>
          <w:p>
            <w:r/>
            <w:r>
              <w:rPr>
                <w:rFonts w:ascii="Arial" w:hAnsi="Arial"/>
                <w:b/>
                <w:sz w:val="16"/>
              </w:rPr>
              <w:t>Dyrupeg</w:t>
            </w:r>
          </w:p>
        </w:tc>
        <w:tc>
          <w:tcPr>
            <w:tcW w:type="dxa" w:w="2520"/>
            <w:vAlign w:val="center"/>
          </w:tcPr>
          <w:p>
            <w:r/>
            <w:r>
              <w:rPr>
                <w:rFonts w:ascii="Arial" w:hAnsi="Arial"/>
                <w:b w:val="0"/>
                <w:sz w:val="16"/>
              </w:rPr>
              <w:t>Pegfilgrastim</w:t>
            </w:r>
          </w:p>
        </w:tc>
        <w:tc>
          <w:tcPr>
            <w:tcW w:type="dxa" w:w="2520"/>
            <w:vAlign w:val="center"/>
          </w:tcPr>
          <w:p>
            <w:r/>
            <w:r>
              <w:rPr>
                <w:rFonts w:ascii="Arial" w:hAnsi="Arial"/>
                <w:b w:val="0"/>
                <w:sz w:val="16"/>
              </w:rPr>
              <w:t>Launched</w:t>
            </w:r>
          </w:p>
        </w:tc>
        <w:tc>
          <w:tcPr>
            <w:tcW w:type="dxa" w:w="2520"/>
            <w:vAlign w:val="center"/>
          </w:tcPr>
          <w:p>
            <w:r/>
            <w:r>
              <w:rPr>
                <w:rFonts w:ascii="Arial" w:hAnsi="Arial"/>
                <w:b w:val="0"/>
                <w:sz w:val="16"/>
              </w:rPr>
              <w:t>UK/EU/Mexico</w:t>
            </w:r>
          </w:p>
        </w:tc>
      </w:tr>
      <w:tr>
        <w:tc>
          <w:tcPr>
            <w:tcW w:type="dxa" w:w="2520"/>
            <w:vAlign w:val="center"/>
            <w:shd w:fill="F3F6F8"/>
          </w:tcPr>
          <w:p>
            <w:r/>
            <w:r>
              <w:rPr>
                <w:rFonts w:ascii="Arial" w:hAnsi="Arial"/>
                <w:b/>
                <w:sz w:val="16"/>
              </w:rPr>
              <w:t>Dazublys</w:t>
            </w:r>
          </w:p>
        </w:tc>
        <w:tc>
          <w:tcPr>
            <w:tcW w:type="dxa" w:w="2520"/>
            <w:vAlign w:val="center"/>
            <w:shd w:fill="F3F6F8"/>
          </w:tcPr>
          <w:p>
            <w:r/>
            <w:r>
              <w:rPr>
                <w:rFonts w:ascii="Arial" w:hAnsi="Arial"/>
                <w:b w:val="0"/>
                <w:sz w:val="16"/>
              </w:rPr>
              <w:t>Trastuzumab</w:t>
            </w:r>
          </w:p>
        </w:tc>
        <w:tc>
          <w:tcPr>
            <w:tcW w:type="dxa" w:w="2520"/>
            <w:vAlign w:val="center"/>
            <w:shd w:fill="F3F6F8"/>
          </w:tcPr>
          <w:p>
            <w:r/>
            <w:r>
              <w:rPr>
                <w:rFonts w:ascii="Arial" w:hAnsi="Arial"/>
                <w:b w:val="0"/>
                <w:sz w:val="16"/>
              </w:rPr>
              <w:t>Launched</w:t>
            </w:r>
          </w:p>
        </w:tc>
        <w:tc>
          <w:tcPr>
            <w:tcW w:type="dxa" w:w="2520"/>
            <w:vAlign w:val="center"/>
            <w:shd w:fill="F3F6F8"/>
          </w:tcPr>
          <w:p>
            <w:r/>
            <w:r>
              <w:rPr>
                <w:rFonts w:ascii="Arial" w:hAnsi="Arial"/>
                <w:b w:val="0"/>
                <w:sz w:val="16"/>
              </w:rPr>
              <w:t>UK/EU</w:t>
            </w:r>
          </w:p>
        </w:tc>
      </w:tr>
      <w:tr>
        <w:tc>
          <w:tcPr>
            <w:tcW w:type="dxa" w:w="2520"/>
            <w:vAlign w:val="center"/>
          </w:tcPr>
          <w:p>
            <w:r/>
            <w:r>
              <w:rPr>
                <w:rFonts w:ascii="Arial" w:hAnsi="Arial"/>
                <w:b/>
                <w:sz w:val="16"/>
              </w:rPr>
              <w:t>Denosumab pair</w:t>
            </w:r>
          </w:p>
        </w:tc>
        <w:tc>
          <w:tcPr>
            <w:tcW w:type="dxa" w:w="2520"/>
            <w:vAlign w:val="center"/>
          </w:tcPr>
          <w:p>
            <w:r/>
            <w:r>
              <w:rPr>
                <w:rFonts w:ascii="Arial" w:hAnsi="Arial"/>
                <w:b w:val="0"/>
                <w:sz w:val="16"/>
              </w:rPr>
              <w:t>Denosumab</w:t>
            </w:r>
          </w:p>
        </w:tc>
        <w:tc>
          <w:tcPr>
            <w:tcW w:type="dxa" w:w="2520"/>
            <w:vAlign w:val="center"/>
          </w:tcPr>
          <w:p>
            <w:r/>
            <w:r>
              <w:rPr>
                <w:rFonts w:ascii="Arial" w:hAnsi="Arial"/>
                <w:b w:val="0"/>
                <w:sz w:val="16"/>
              </w:rPr>
              <w:t>Filed EMA</w:t>
            </w:r>
          </w:p>
        </w:tc>
        <w:tc>
          <w:tcPr>
            <w:tcW w:type="dxa" w:w="2520"/>
            <w:vAlign w:val="center"/>
          </w:tcPr>
          <w:p>
            <w:r/>
            <w:r>
              <w:rPr>
                <w:rFonts w:ascii="Arial" w:hAnsi="Arial"/>
                <w:b w:val="0"/>
                <w:sz w:val="16"/>
              </w:rPr>
              <w:t>FY28/29 base launch</w:t>
            </w:r>
          </w:p>
        </w:tc>
      </w:tr>
      <w:tr>
        <w:tc>
          <w:tcPr>
            <w:tcW w:type="dxa" w:w="2520"/>
            <w:vAlign w:val="center"/>
            <w:shd w:fill="F3F6F8"/>
          </w:tcPr>
          <w:p>
            <w:r/>
            <w:r>
              <w:rPr>
                <w:rFonts w:ascii="Arial" w:hAnsi="Arial"/>
                <w:b/>
                <w:sz w:val="16"/>
              </w:rPr>
              <w:t>Omazijev</w:t>
            </w:r>
          </w:p>
        </w:tc>
        <w:tc>
          <w:tcPr>
            <w:tcW w:type="dxa" w:w="2520"/>
            <w:vAlign w:val="center"/>
            <w:shd w:fill="F3F6F8"/>
          </w:tcPr>
          <w:p>
            <w:r/>
            <w:r>
              <w:rPr>
                <w:rFonts w:ascii="Arial" w:hAnsi="Arial"/>
                <w:b w:val="0"/>
                <w:sz w:val="16"/>
              </w:rPr>
              <w:t>Omalizumab</w:t>
            </w:r>
          </w:p>
        </w:tc>
        <w:tc>
          <w:tcPr>
            <w:tcW w:type="dxa" w:w="2520"/>
            <w:vAlign w:val="center"/>
            <w:shd w:fill="F3F6F8"/>
          </w:tcPr>
          <w:p>
            <w:r/>
            <w:r>
              <w:rPr>
                <w:rFonts w:ascii="Arial" w:hAnsi="Arial"/>
                <w:b w:val="0"/>
                <w:sz w:val="16"/>
              </w:rPr>
              <w:t>Phase 3 successful</w:t>
            </w:r>
          </w:p>
        </w:tc>
        <w:tc>
          <w:tcPr>
            <w:tcW w:type="dxa" w:w="2520"/>
            <w:vAlign w:val="center"/>
            <w:shd w:fill="F3F6F8"/>
          </w:tcPr>
          <w:p>
            <w:r/>
            <w:r>
              <w:rPr>
                <w:rFonts w:ascii="Arial" w:hAnsi="Arial"/>
                <w:b w:val="0"/>
                <w:sz w:val="16"/>
              </w:rPr>
              <w:t>FY29 base launch</w:t>
            </w:r>
          </w:p>
        </w:tc>
      </w:tr>
      <w:tr>
        <w:tc>
          <w:tcPr>
            <w:tcW w:type="dxa" w:w="2520"/>
            <w:vAlign w:val="center"/>
          </w:tcPr>
          <w:p>
            <w:r/>
            <w:r>
              <w:rPr>
                <w:rFonts w:ascii="Arial" w:hAnsi="Arial"/>
                <w:b/>
                <w:sz w:val="16"/>
              </w:rPr>
              <w:t>BP08</w:t>
            </w:r>
          </w:p>
        </w:tc>
        <w:tc>
          <w:tcPr>
            <w:tcW w:type="dxa" w:w="2520"/>
            <w:vAlign w:val="center"/>
          </w:tcPr>
          <w:p>
            <w:r/>
            <w:r>
              <w:rPr>
                <w:rFonts w:ascii="Arial" w:hAnsi="Arial"/>
                <w:b w:val="0"/>
                <w:sz w:val="16"/>
              </w:rPr>
              <w:t>Tocilizumab</w:t>
            </w:r>
          </w:p>
        </w:tc>
        <w:tc>
          <w:tcPr>
            <w:tcW w:type="dxa" w:w="2520"/>
            <w:vAlign w:val="center"/>
          </w:tcPr>
          <w:p>
            <w:r/>
            <w:r>
              <w:rPr>
                <w:rFonts w:ascii="Arial" w:hAnsi="Arial"/>
                <w:b w:val="0"/>
                <w:sz w:val="16"/>
              </w:rPr>
              <w:t>Pivotal complete</w:t>
            </w:r>
          </w:p>
        </w:tc>
        <w:tc>
          <w:tcPr>
            <w:tcW w:type="dxa" w:w="2520"/>
            <w:vAlign w:val="center"/>
          </w:tcPr>
          <w:p>
            <w:r/>
            <w:r>
              <w:rPr>
                <w:rFonts w:ascii="Arial" w:hAnsi="Arial"/>
                <w:b w:val="0"/>
                <w:sz w:val="16"/>
              </w:rPr>
              <w:t>FY29/30</w:t>
            </w:r>
          </w:p>
        </w:tc>
      </w:tr>
      <w:tr>
        <w:tc>
          <w:tcPr>
            <w:tcW w:type="dxa" w:w="2520"/>
            <w:vAlign w:val="center"/>
            <w:shd w:fill="F3F6F8"/>
          </w:tcPr>
          <w:p>
            <w:r/>
            <w:r>
              <w:rPr>
                <w:rFonts w:ascii="Arial" w:hAnsi="Arial"/>
                <w:b/>
                <w:sz w:val="16"/>
              </w:rPr>
              <w:t>BP05</w:t>
            </w:r>
          </w:p>
        </w:tc>
        <w:tc>
          <w:tcPr>
            <w:tcW w:type="dxa" w:w="2520"/>
            <w:vAlign w:val="center"/>
            <w:shd w:fill="F3F6F8"/>
          </w:tcPr>
          <w:p>
            <w:r/>
            <w:r>
              <w:rPr>
                <w:rFonts w:ascii="Arial" w:hAnsi="Arial"/>
                <w:b w:val="0"/>
                <w:sz w:val="16"/>
              </w:rPr>
              <w:t>Ranibizumab</w:t>
            </w:r>
          </w:p>
        </w:tc>
        <w:tc>
          <w:tcPr>
            <w:tcW w:type="dxa" w:w="2520"/>
            <w:vAlign w:val="center"/>
            <w:shd w:fill="F3F6F8"/>
          </w:tcPr>
          <w:p>
            <w:r/>
            <w:r>
              <w:rPr>
                <w:rFonts w:ascii="Arial" w:hAnsi="Arial"/>
                <w:b w:val="0"/>
                <w:sz w:val="16"/>
              </w:rPr>
              <w:t>Phase 3 near complete</w:t>
            </w:r>
          </w:p>
        </w:tc>
        <w:tc>
          <w:tcPr>
            <w:tcW w:type="dxa" w:w="2520"/>
            <w:vAlign w:val="center"/>
            <w:shd w:fill="F3F6F8"/>
          </w:tcPr>
          <w:p>
            <w:r/>
            <w:r>
              <w:rPr>
                <w:rFonts w:ascii="Arial" w:hAnsi="Arial"/>
                <w:b w:val="0"/>
                <w:sz w:val="16"/>
              </w:rPr>
              <w:t>FY30</w:t>
            </w:r>
          </w:p>
        </w:tc>
      </w:tr>
    </w:tbl>
    <w:p>
      <w:pPr>
        <w:pStyle w:val="Heading2"/>
      </w:pPr>
      <w:r>
        <w:t>Margin expands as trials finish and the product base broadens</w:t>
      </w:r>
    </w:p>
    <w:p>
      <w:pPr>
        <w:spacing w:after="100" w:line="252" w:lineRule="auto"/>
      </w:pPr>
      <w:r>
        <w:t>R&amp;D was guided at ₹1,450–1,500cr in FY27, with roughly 35–36% directed to biosimilars. Most large Phase 3 programs are complete, so clinical spend should decline before the pipeline stops expanding. We model biosimilar EBITDA at -20% in FY27, +5% in FY28, 18% in FY29 and 26% in FY30. The FY30 margin exceeds the current group margin because tender/partner fees and fixed R&amp;D are spread over US$260m of sales.</w:t>
      </w:r>
    </w:p>
    <w:p>
      <w:pPr>
        <w:spacing w:after="100" w:line="252" w:lineRule="auto"/>
      </w:pPr>
      <w:r>
        <w:t>The model does not value the long list of early programs individually. Next-wave assets add US$48m only in FY31. The upgrade receives credit for filed or advanced assets, not for every originator market printed in the pipeline slide.</w:t>
      </w:r>
    </w:p>
    <w:p>
      <w:pPr>
        <w:pStyle w:val="Heading2"/>
      </w:pPr>
      <w:r>
        <w:t>Return test</w:t>
      </w:r>
    </w:p>
    <w:p>
      <w:pPr>
        <w:spacing w:after="100" w:line="252" w:lineRule="auto"/>
      </w:pPr>
      <w:r>
        <w:t>The biosimilar thesis passes if the segment is above break-even by FY28/29 and reaches at least 20% EBITDA margin by FY30. It fails if European tender conversion stays below US$80m in FY28, the denosumab/omalizumab filings slip more than 12 months, or partner fees prevent margin from reaching the high teens.</w:t>
      </w:r>
    </w:p>
    <w:p>
      <w:r>
        <w:br w:type="page"/>
      </w:r>
    </w:p>
    <w:p>
      <w:pPr>
        <w:pStyle w:val="Heading1"/>
      </w:pPr>
      <w:r>
        <w:t>5. US dermatology: the second product makes the platform profitable</w:t>
      </w:r>
    </w:p>
    <w:p>
      <w:pPr>
        <w:pStyle w:val="Heading2"/>
      </w:pPr>
      <w:r>
        <w:t>ADQUEY is verified; the second asset is not publicly named</w:t>
      </w:r>
    </w:p>
    <w:p>
      <w:pPr>
        <w:spacing w:after="100" w:line="252" w:lineRule="auto"/>
      </w:pPr>
      <w:r>
        <w:t>Acrotech launched ADQUEY, difamilast 1% ointment, on 30 September for mild-to-moderate atopic dermatitis in adults and children aged two years and older. The company created a dedicated dermatology unit and disclosed a US$1.3bn market. Acrotech's public dermatology page lists ADQUEY only. [S19–S20]</w:t>
      </w:r>
    </w:p>
    <w:p>
      <w:pPr>
        <w:spacing w:after="100" w:line="252" w:lineRule="auto"/>
      </w:pPr>
      <w:r>
        <w:t>Manager input identifies one launched product and one pipeline product. We could not verify the name of the second product in public company material as of 6 October. The workbook therefore calls it Pipeline Product 2 and values it through a break-even hurdle. This protects the model from a false product attribution.</w:t>
      </w:r>
    </w:p>
    <w:p>
      <w:pPr>
        <w:pStyle w:val="Heading2"/>
      </w:pPr>
      <w:r>
        <w:t>The fixed field platform requires roughly US$66m of revenue</w:t>
      </w:r>
    </w:p>
    <w:p>
      <w:pPr>
        <w:spacing w:after="100" w:line="252" w:lineRule="auto"/>
      </w:pPr>
      <w:r>
        <w:t>We use a 58% contribution margin after product cost, royalties and gross-to-net deductions. Fixed commercial and medical cost rises from US$25m in FY27 to US$38m in FY29. FY29 break-even revenue is therefore US$65.5m. ADQUEY contributes US$60m in that year, leaving only US$5.5m of required sales from Product 2. Our base case assigns US$15m and produces US$5.5m EBITDA.</w:t>
      </w:r>
    </w:p>
    <w:p>
      <w:pPr>
        <w:spacing w:after="100" w:line="252" w:lineRule="auto"/>
      </w:pPr>
      <w:r>
        <w:t>If Product 2 does not launch, FY29 segment EBITDA is -US$3.2m. The earnings shortfall is contained if ADQUEY reaches US$60m. The larger risk is ADQUEY access: a US$45m outcome with no second product would leave the platform about US$12m below break-even.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0F6B78"/>
          </w:tcPr>
          <w:p>
            <w:pPr>
              <w:jc w:val="center"/>
            </w:pPr>
            <w:r/>
            <w:r>
              <w:rPr>
                <w:rFonts w:ascii="Arial" w:hAnsi="Arial"/>
                <w:b/>
                <w:color w:val="FFFFFF"/>
                <w:sz w:val="16"/>
              </w:rPr>
              <w:t>Year</w:t>
            </w:r>
          </w:p>
        </w:tc>
        <w:tc>
          <w:tcPr>
            <w:tcW w:type="dxa" w:w="2016"/>
            <w:vAlign w:val="center"/>
            <w:shd w:fill="0F6B78"/>
          </w:tcPr>
          <w:p>
            <w:pPr>
              <w:jc w:val="center"/>
            </w:pPr>
            <w:r/>
            <w:r>
              <w:rPr>
                <w:rFonts w:ascii="Arial" w:hAnsi="Arial"/>
                <w:b/>
                <w:color w:val="FFFFFF"/>
                <w:sz w:val="16"/>
              </w:rPr>
              <w:t>ADQUEY</w:t>
            </w:r>
          </w:p>
        </w:tc>
        <w:tc>
          <w:tcPr>
            <w:tcW w:type="dxa" w:w="2016"/>
            <w:vAlign w:val="center"/>
            <w:shd w:fill="0F6B78"/>
          </w:tcPr>
          <w:p>
            <w:pPr>
              <w:jc w:val="center"/>
            </w:pPr>
            <w:r/>
            <w:r>
              <w:rPr>
                <w:rFonts w:ascii="Arial" w:hAnsi="Arial"/>
                <w:b/>
                <w:color w:val="FFFFFF"/>
                <w:sz w:val="16"/>
              </w:rPr>
              <w:t>Product 2</w:t>
            </w:r>
          </w:p>
        </w:tc>
        <w:tc>
          <w:tcPr>
            <w:tcW w:type="dxa" w:w="2016"/>
            <w:vAlign w:val="center"/>
            <w:shd w:fill="0F6B78"/>
          </w:tcPr>
          <w:p>
            <w:pPr>
              <w:jc w:val="center"/>
            </w:pPr>
            <w:r/>
            <w:r>
              <w:rPr>
                <w:rFonts w:ascii="Arial" w:hAnsi="Arial"/>
                <w:b/>
                <w:color w:val="FFFFFF"/>
                <w:sz w:val="16"/>
              </w:rPr>
              <w:t>Fixed cost</w:t>
            </w:r>
          </w:p>
        </w:tc>
        <w:tc>
          <w:tcPr>
            <w:tcW w:type="dxa" w:w="2016"/>
            <w:vAlign w:val="center"/>
            <w:shd w:fill="0F6B78"/>
          </w:tcPr>
          <w:p>
            <w:pPr>
              <w:jc w:val="center"/>
            </w:pPr>
            <w:r/>
            <w:r>
              <w:rPr>
                <w:rFonts w:ascii="Arial" w:hAnsi="Arial"/>
                <w:b/>
                <w:color w:val="FFFFFF"/>
                <w:sz w:val="16"/>
              </w:rPr>
              <w:t>EBITDA</w:t>
            </w:r>
          </w:p>
        </w:tc>
      </w:tr>
      <w:tr>
        <w:tc>
          <w:tcPr>
            <w:tcW w:type="dxa" w:w="2016"/>
            <w:vAlign w:val="center"/>
          </w:tcPr>
          <w:p>
            <w:r/>
            <w:r>
              <w:rPr>
                <w:rFonts w:ascii="Arial" w:hAnsi="Arial"/>
                <w:b/>
                <w:sz w:val="16"/>
              </w:rPr>
              <w:t>FY27E</w:t>
            </w:r>
          </w:p>
        </w:tc>
        <w:tc>
          <w:tcPr>
            <w:tcW w:type="dxa" w:w="2016"/>
            <w:vAlign w:val="center"/>
          </w:tcPr>
          <w:p>
            <w:r/>
            <w:r>
              <w:rPr>
                <w:rFonts w:ascii="Arial" w:hAnsi="Arial"/>
                <w:b w:val="0"/>
                <w:sz w:val="16"/>
              </w:rPr>
              <w:t>US$8m</w:t>
            </w:r>
          </w:p>
        </w:tc>
        <w:tc>
          <w:tcPr>
            <w:tcW w:type="dxa" w:w="2016"/>
            <w:vAlign w:val="center"/>
          </w:tcPr>
          <w:p>
            <w:r/>
            <w:r>
              <w:rPr>
                <w:rFonts w:ascii="Arial" w:hAnsi="Arial"/>
                <w:b w:val="0"/>
                <w:sz w:val="16"/>
              </w:rPr>
              <w:t>US$0m</w:t>
            </w:r>
          </w:p>
        </w:tc>
        <w:tc>
          <w:tcPr>
            <w:tcW w:type="dxa" w:w="2016"/>
            <w:vAlign w:val="center"/>
          </w:tcPr>
          <w:p>
            <w:r/>
            <w:r>
              <w:rPr>
                <w:rFonts w:ascii="Arial" w:hAnsi="Arial"/>
                <w:b w:val="0"/>
                <w:sz w:val="16"/>
              </w:rPr>
              <w:t>US$25m</w:t>
            </w:r>
          </w:p>
        </w:tc>
        <w:tc>
          <w:tcPr>
            <w:tcW w:type="dxa" w:w="2016"/>
            <w:vAlign w:val="center"/>
          </w:tcPr>
          <w:p>
            <w:r/>
            <w:r>
              <w:rPr>
                <w:rFonts w:ascii="Arial" w:hAnsi="Arial"/>
                <w:b w:val="0"/>
                <w:sz w:val="16"/>
              </w:rPr>
              <w:t>US$-20.4m</w:t>
            </w:r>
          </w:p>
        </w:tc>
      </w:tr>
      <w:tr>
        <w:tc>
          <w:tcPr>
            <w:tcW w:type="dxa" w:w="2016"/>
            <w:vAlign w:val="center"/>
            <w:shd w:fill="F3F6F8"/>
          </w:tcPr>
          <w:p>
            <w:r/>
            <w:r>
              <w:rPr>
                <w:rFonts w:ascii="Arial" w:hAnsi="Arial"/>
                <w:b/>
                <w:sz w:val="16"/>
              </w:rPr>
              <w:t>FY28E</w:t>
            </w:r>
          </w:p>
        </w:tc>
        <w:tc>
          <w:tcPr>
            <w:tcW w:type="dxa" w:w="2016"/>
            <w:vAlign w:val="center"/>
            <w:shd w:fill="F3F6F8"/>
          </w:tcPr>
          <w:p>
            <w:r/>
            <w:r>
              <w:rPr>
                <w:rFonts w:ascii="Arial" w:hAnsi="Arial"/>
                <w:b w:val="0"/>
                <w:sz w:val="16"/>
              </w:rPr>
              <w:t>US$35m</w:t>
            </w:r>
          </w:p>
        </w:tc>
        <w:tc>
          <w:tcPr>
            <w:tcW w:type="dxa" w:w="2016"/>
            <w:vAlign w:val="center"/>
            <w:shd w:fill="F3F6F8"/>
          </w:tcPr>
          <w:p>
            <w:r/>
            <w:r>
              <w:rPr>
                <w:rFonts w:ascii="Arial" w:hAnsi="Arial"/>
                <w:b w:val="0"/>
                <w:sz w:val="16"/>
              </w:rPr>
              <w:t>US$0m</w:t>
            </w:r>
          </w:p>
        </w:tc>
        <w:tc>
          <w:tcPr>
            <w:tcW w:type="dxa" w:w="2016"/>
            <w:vAlign w:val="center"/>
            <w:shd w:fill="F3F6F8"/>
          </w:tcPr>
          <w:p>
            <w:r/>
            <w:r>
              <w:rPr>
                <w:rFonts w:ascii="Arial" w:hAnsi="Arial"/>
                <w:b w:val="0"/>
                <w:sz w:val="16"/>
              </w:rPr>
              <w:t>US$31m</w:t>
            </w:r>
          </w:p>
        </w:tc>
        <w:tc>
          <w:tcPr>
            <w:tcW w:type="dxa" w:w="2016"/>
            <w:vAlign w:val="center"/>
            <w:shd w:fill="F3F6F8"/>
          </w:tcPr>
          <w:p>
            <w:r/>
            <w:r>
              <w:rPr>
                <w:rFonts w:ascii="Arial" w:hAnsi="Arial"/>
                <w:b w:val="0"/>
                <w:sz w:val="16"/>
              </w:rPr>
              <w:t>US$-10.7m</w:t>
            </w:r>
          </w:p>
        </w:tc>
      </w:tr>
      <w:tr>
        <w:tc>
          <w:tcPr>
            <w:tcW w:type="dxa" w:w="2016"/>
            <w:vAlign w:val="center"/>
          </w:tcPr>
          <w:p>
            <w:r/>
            <w:r>
              <w:rPr>
                <w:rFonts w:ascii="Arial" w:hAnsi="Arial"/>
                <w:b/>
                <w:sz w:val="16"/>
              </w:rPr>
              <w:t>FY29E</w:t>
            </w:r>
          </w:p>
        </w:tc>
        <w:tc>
          <w:tcPr>
            <w:tcW w:type="dxa" w:w="2016"/>
            <w:vAlign w:val="center"/>
          </w:tcPr>
          <w:p>
            <w:r/>
            <w:r>
              <w:rPr>
                <w:rFonts w:ascii="Arial" w:hAnsi="Arial"/>
                <w:b w:val="0"/>
                <w:sz w:val="16"/>
              </w:rPr>
              <w:t>US$60m</w:t>
            </w:r>
          </w:p>
        </w:tc>
        <w:tc>
          <w:tcPr>
            <w:tcW w:type="dxa" w:w="2016"/>
            <w:vAlign w:val="center"/>
          </w:tcPr>
          <w:p>
            <w:r/>
            <w:r>
              <w:rPr>
                <w:rFonts w:ascii="Arial" w:hAnsi="Arial"/>
                <w:b w:val="0"/>
                <w:sz w:val="16"/>
              </w:rPr>
              <w:t>US$15m</w:t>
            </w:r>
          </w:p>
        </w:tc>
        <w:tc>
          <w:tcPr>
            <w:tcW w:type="dxa" w:w="2016"/>
            <w:vAlign w:val="center"/>
          </w:tcPr>
          <w:p>
            <w:r/>
            <w:r>
              <w:rPr>
                <w:rFonts w:ascii="Arial" w:hAnsi="Arial"/>
                <w:b w:val="0"/>
                <w:sz w:val="16"/>
              </w:rPr>
              <w:t>US$38m</w:t>
            </w:r>
          </w:p>
        </w:tc>
        <w:tc>
          <w:tcPr>
            <w:tcW w:type="dxa" w:w="2016"/>
            <w:vAlign w:val="center"/>
          </w:tcPr>
          <w:p>
            <w:r/>
            <w:r>
              <w:rPr>
                <w:rFonts w:ascii="Arial" w:hAnsi="Arial"/>
                <w:b w:val="0"/>
                <w:sz w:val="16"/>
              </w:rPr>
              <w:t>US$5.5m</w:t>
            </w:r>
          </w:p>
        </w:tc>
      </w:tr>
      <w:tr>
        <w:tc>
          <w:tcPr>
            <w:tcW w:type="dxa" w:w="2016"/>
            <w:vAlign w:val="center"/>
            <w:shd w:fill="F3F6F8"/>
          </w:tcPr>
          <w:p>
            <w:r/>
            <w:r>
              <w:rPr>
                <w:rFonts w:ascii="Arial" w:hAnsi="Arial"/>
                <w:b/>
                <w:sz w:val="16"/>
              </w:rPr>
              <w:t>FY30E</w:t>
            </w:r>
          </w:p>
        </w:tc>
        <w:tc>
          <w:tcPr>
            <w:tcW w:type="dxa" w:w="2016"/>
            <w:vAlign w:val="center"/>
            <w:shd w:fill="F3F6F8"/>
          </w:tcPr>
          <w:p>
            <w:r/>
            <w:r>
              <w:rPr>
                <w:rFonts w:ascii="Arial" w:hAnsi="Arial"/>
                <w:b w:val="0"/>
                <w:sz w:val="16"/>
              </w:rPr>
              <w:t>US$85m</w:t>
            </w:r>
          </w:p>
        </w:tc>
        <w:tc>
          <w:tcPr>
            <w:tcW w:type="dxa" w:w="2016"/>
            <w:vAlign w:val="center"/>
            <w:shd w:fill="F3F6F8"/>
          </w:tcPr>
          <w:p>
            <w:r/>
            <w:r>
              <w:rPr>
                <w:rFonts w:ascii="Arial" w:hAnsi="Arial"/>
                <w:b w:val="0"/>
                <w:sz w:val="16"/>
              </w:rPr>
              <w:t>US$40m</w:t>
            </w:r>
          </w:p>
        </w:tc>
        <w:tc>
          <w:tcPr>
            <w:tcW w:type="dxa" w:w="2016"/>
            <w:vAlign w:val="center"/>
            <w:shd w:fill="F3F6F8"/>
          </w:tcPr>
          <w:p>
            <w:r/>
            <w:r>
              <w:rPr>
                <w:rFonts w:ascii="Arial" w:hAnsi="Arial"/>
                <w:b w:val="0"/>
                <w:sz w:val="16"/>
              </w:rPr>
              <w:t>US$42m</w:t>
            </w:r>
          </w:p>
        </w:tc>
        <w:tc>
          <w:tcPr>
            <w:tcW w:type="dxa" w:w="2016"/>
            <w:vAlign w:val="center"/>
            <w:shd w:fill="F3F6F8"/>
          </w:tcPr>
          <w:p>
            <w:r/>
            <w:r>
              <w:rPr>
                <w:rFonts w:ascii="Arial" w:hAnsi="Arial"/>
                <w:b w:val="0"/>
                <w:sz w:val="16"/>
              </w:rPr>
              <w:t>US$30.5m</w:t>
            </w:r>
          </w:p>
        </w:tc>
      </w:tr>
      <w:tr>
        <w:tc>
          <w:tcPr>
            <w:tcW w:type="dxa" w:w="2016"/>
            <w:vAlign w:val="center"/>
          </w:tcPr>
          <w:p>
            <w:r/>
            <w:r>
              <w:rPr>
                <w:rFonts w:ascii="Arial" w:hAnsi="Arial"/>
                <w:b/>
                <w:sz w:val="16"/>
              </w:rPr>
              <w:t>FY31E</w:t>
            </w:r>
          </w:p>
        </w:tc>
        <w:tc>
          <w:tcPr>
            <w:tcW w:type="dxa" w:w="2016"/>
            <w:vAlign w:val="center"/>
          </w:tcPr>
          <w:p>
            <w:r/>
            <w:r>
              <w:rPr>
                <w:rFonts w:ascii="Arial" w:hAnsi="Arial"/>
                <w:b w:val="0"/>
                <w:sz w:val="16"/>
              </w:rPr>
              <w:t>US$105m</w:t>
            </w:r>
          </w:p>
        </w:tc>
        <w:tc>
          <w:tcPr>
            <w:tcW w:type="dxa" w:w="2016"/>
            <w:vAlign w:val="center"/>
          </w:tcPr>
          <w:p>
            <w:r/>
            <w:r>
              <w:rPr>
                <w:rFonts w:ascii="Arial" w:hAnsi="Arial"/>
                <w:b w:val="0"/>
                <w:sz w:val="16"/>
              </w:rPr>
              <w:t>US$65m</w:t>
            </w:r>
          </w:p>
        </w:tc>
        <w:tc>
          <w:tcPr>
            <w:tcW w:type="dxa" w:w="2016"/>
            <w:vAlign w:val="center"/>
          </w:tcPr>
          <w:p>
            <w:r/>
            <w:r>
              <w:rPr>
                <w:rFonts w:ascii="Arial" w:hAnsi="Arial"/>
                <w:b w:val="0"/>
                <w:sz w:val="16"/>
              </w:rPr>
              <w:t>US$46m</w:t>
            </w:r>
          </w:p>
        </w:tc>
        <w:tc>
          <w:tcPr>
            <w:tcW w:type="dxa" w:w="2016"/>
            <w:vAlign w:val="center"/>
          </w:tcPr>
          <w:p>
            <w:r/>
            <w:r>
              <w:rPr>
                <w:rFonts w:ascii="Arial" w:hAnsi="Arial"/>
                <w:b w:val="0"/>
                <w:sz w:val="16"/>
              </w:rPr>
              <w:t>US$52.6m</w:t>
            </w:r>
          </w:p>
        </w:tc>
      </w:tr>
    </w:tbl>
    <w:p>
      <w:r>
        <w:br w:type="page"/>
      </w:r>
    </w:p>
    <w:p>
      <w:pPr>
        <w:pStyle w:val="Heading1"/>
      </w:pPr>
      <w:r>
        <w:t>Consolidated earnings and valuation</w:t>
      </w:r>
    </w:p>
    <w:p>
      <w:pPr>
        <w:pStyle w:val="Heading2"/>
      </w:pPr>
      <w:r>
        <w:t>Revenue broadens; EBITDA grows faster than sales</w:t>
      </w:r>
    </w:p>
    <w:p>
      <w:pPr>
        <w:spacing w:after="100" w:line="252" w:lineRule="auto"/>
      </w:pPr>
      <w:r>
        <w:t>Revenue rises from ₹33,653cr in FY26 to ₹55,418cr in FY31, a 10.5% CAGR. EBITDA rises from ₹6,856cr to ₹13,073cr, a 13.8% CAGR. Margin reaches 23.6%. Lannett, respiratory, Pen-G, biosimilars and dermatology account for roughly ₹2,500cr of FY31 EBITDA.</w:t>
      </w:r>
    </w:p>
    <w:p>
      <w:pPr>
        <w:spacing w:after="100" w:line="252" w:lineRule="auto"/>
      </w:pPr>
      <w:r>
        <w:t>FY27 captures nine months of Lannett and the first Pen-G/PLI benefit, but it also absorbs dermatology launch cost and a biosimilar loss. EPS is ₹70.9, 4% below the old ₹73.9. FY28 EPS is ₹85.0, 7% above the old estimate, and FY29 reaches ₹100.6. The earnings slope is the reason for the rating change.</w:t>
      </w:r>
    </w:p>
    <w:p>
      <w:pPr>
        <w:pStyle w:val="Heading2"/>
      </w:pPr>
      <w:r>
        <w:t>DCF supports a ₹2,100 target</w:t>
      </w:r>
    </w:p>
    <w:p>
      <w:pPr>
        <w:spacing w:after="100" w:line="252" w:lineRule="auto"/>
      </w:pPr>
      <w:r>
        <w:t>We forecast explicit FCFF through FY36, use 28% cash tax, 4.5% of incremental sales for working capital, a 10.5% WACC and 4.5% terminal growth. Enterprise value is ₹121,073cr. Adding ₹397cr net cash and dividing by 58.08cr shares yields ₹2,091 per share. We round to ₹2,100.</w:t>
      </w:r>
    </w:p>
    <w:p>
      <w:pPr>
        <w:spacing w:after="100" w:line="252" w:lineRule="auto"/>
      </w:pPr>
      <w:r>
        <w:t>The terminal-growth assumption is 50bp below the original initiation's 5.0%, while WACC is unchanged. The valuation still carries duration risk: a 11.5% WACC and 3.5% terminal growth would move fair value below the current price. The workbook contains the full sensitivity grid.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6B78"/>
          </w:tcPr>
          <w:p>
            <w:pPr>
              <w:jc w:val="center"/>
            </w:pPr>
            <w:r/>
            <w:r>
              <w:rPr>
                <w:rFonts w:ascii="Arial" w:hAnsi="Arial"/>
                <w:b/>
                <w:color w:val="FFFFFF"/>
                <w:sz w:val="17"/>
              </w:rPr>
              <w:t>Metric</w:t>
            </w:r>
          </w:p>
        </w:tc>
        <w:tc>
          <w:tcPr>
            <w:tcW w:type="dxa" w:w="3360"/>
            <w:vAlign w:val="center"/>
            <w:shd w:fill="0F6B78"/>
          </w:tcPr>
          <w:p>
            <w:pPr>
              <w:jc w:val="center"/>
            </w:pPr>
            <w:r/>
            <w:r>
              <w:rPr>
                <w:rFonts w:ascii="Arial" w:hAnsi="Arial"/>
                <w:b/>
                <w:color w:val="FFFFFF"/>
                <w:sz w:val="17"/>
              </w:rPr>
              <w:t>Value</w:t>
            </w:r>
          </w:p>
        </w:tc>
        <w:tc>
          <w:tcPr>
            <w:tcW w:type="dxa" w:w="3360"/>
            <w:vAlign w:val="center"/>
            <w:shd w:fill="0F6B78"/>
          </w:tcPr>
          <w:p>
            <w:pPr>
              <w:jc w:val="center"/>
            </w:pPr>
            <w:r/>
            <w:r>
              <w:rPr>
                <w:rFonts w:ascii="Arial" w:hAnsi="Arial"/>
                <w:b/>
                <w:color w:val="FFFFFF"/>
                <w:sz w:val="17"/>
              </w:rPr>
              <w:t>Basis</w:t>
            </w:r>
          </w:p>
        </w:tc>
      </w:tr>
      <w:tr>
        <w:tc>
          <w:tcPr>
            <w:tcW w:type="dxa" w:w="3360"/>
            <w:vAlign w:val="center"/>
          </w:tcPr>
          <w:p>
            <w:r/>
            <w:r>
              <w:rPr>
                <w:rFonts w:ascii="Arial" w:hAnsi="Arial"/>
                <w:b/>
                <w:sz w:val="17"/>
              </w:rPr>
              <w:t>Current price</w:t>
            </w:r>
          </w:p>
        </w:tc>
        <w:tc>
          <w:tcPr>
            <w:tcW w:type="dxa" w:w="3360"/>
            <w:vAlign w:val="center"/>
          </w:tcPr>
          <w:p>
            <w:r/>
            <w:r>
              <w:rPr>
                <w:rFonts w:ascii="Arial" w:hAnsi="Arial"/>
                <w:b w:val="0"/>
                <w:sz w:val="17"/>
              </w:rPr>
              <w:t>₹1,686</w:t>
            </w:r>
          </w:p>
        </w:tc>
        <w:tc>
          <w:tcPr>
            <w:tcW w:type="dxa" w:w="3360"/>
            <w:vAlign w:val="center"/>
          </w:tcPr>
          <w:p>
            <w:r/>
            <w:r>
              <w:rPr>
                <w:rFonts w:ascii="Arial" w:hAnsi="Arial"/>
                <w:b w:val="0"/>
                <w:sz w:val="17"/>
              </w:rPr>
              <w:t>6 Oct 2026</w:t>
            </w:r>
          </w:p>
        </w:tc>
      </w:tr>
      <w:tr>
        <w:tc>
          <w:tcPr>
            <w:tcW w:type="dxa" w:w="3360"/>
            <w:vAlign w:val="center"/>
            <w:shd w:fill="F3F6F8"/>
          </w:tcPr>
          <w:p>
            <w:r/>
            <w:r>
              <w:rPr>
                <w:rFonts w:ascii="Arial" w:hAnsi="Arial"/>
                <w:b/>
                <w:sz w:val="17"/>
              </w:rPr>
              <w:t>Target price</w:t>
            </w:r>
          </w:p>
        </w:tc>
        <w:tc>
          <w:tcPr>
            <w:tcW w:type="dxa" w:w="3360"/>
            <w:vAlign w:val="center"/>
            <w:shd w:fill="F3F6F8"/>
          </w:tcPr>
          <w:p>
            <w:r/>
            <w:r>
              <w:rPr>
                <w:rFonts w:ascii="Arial" w:hAnsi="Arial"/>
                <w:b w:val="0"/>
                <w:sz w:val="17"/>
              </w:rPr>
              <w:t>₹2,100</w:t>
            </w:r>
          </w:p>
        </w:tc>
        <w:tc>
          <w:tcPr>
            <w:tcW w:type="dxa" w:w="3360"/>
            <w:vAlign w:val="center"/>
            <w:shd w:fill="F3F6F8"/>
          </w:tcPr>
          <w:p>
            <w:r/>
            <w:r>
              <w:rPr>
                <w:rFonts w:ascii="Arial" w:hAnsi="Arial"/>
                <w:b w:val="0"/>
                <w:sz w:val="17"/>
              </w:rPr>
              <w:t>DCF rounded</w:t>
            </w:r>
          </w:p>
        </w:tc>
      </w:tr>
      <w:tr>
        <w:tc>
          <w:tcPr>
            <w:tcW w:type="dxa" w:w="3360"/>
            <w:vAlign w:val="center"/>
          </w:tcPr>
          <w:p>
            <w:r/>
            <w:r>
              <w:rPr>
                <w:rFonts w:ascii="Arial" w:hAnsi="Arial"/>
                <w:b/>
                <w:sz w:val="17"/>
              </w:rPr>
              <w:t>Upside</w:t>
            </w:r>
          </w:p>
        </w:tc>
        <w:tc>
          <w:tcPr>
            <w:tcW w:type="dxa" w:w="3360"/>
            <w:vAlign w:val="center"/>
          </w:tcPr>
          <w:p>
            <w:r/>
            <w:r>
              <w:rPr>
                <w:rFonts w:ascii="Arial" w:hAnsi="Arial"/>
                <w:b w:val="0"/>
                <w:sz w:val="17"/>
              </w:rPr>
              <w:t>24.6%</w:t>
            </w:r>
          </w:p>
        </w:tc>
        <w:tc>
          <w:tcPr>
            <w:tcW w:type="dxa" w:w="3360"/>
            <w:vAlign w:val="center"/>
          </w:tcPr>
          <w:p>
            <w:r/>
            <w:r>
              <w:rPr>
                <w:rFonts w:ascii="Arial" w:hAnsi="Arial"/>
                <w:b w:val="0"/>
                <w:sz w:val="17"/>
              </w:rPr>
              <w:t>Ex-dividend</w:t>
            </w:r>
          </w:p>
        </w:tc>
      </w:tr>
      <w:tr>
        <w:tc>
          <w:tcPr>
            <w:tcW w:type="dxa" w:w="3360"/>
            <w:vAlign w:val="center"/>
            <w:shd w:fill="F3F6F8"/>
          </w:tcPr>
          <w:p>
            <w:r/>
            <w:r>
              <w:rPr>
                <w:rFonts w:ascii="Arial" w:hAnsi="Arial"/>
                <w:b/>
                <w:sz w:val="17"/>
              </w:rPr>
              <w:t>FY29E EPS</w:t>
            </w:r>
          </w:p>
        </w:tc>
        <w:tc>
          <w:tcPr>
            <w:tcW w:type="dxa" w:w="3360"/>
            <w:vAlign w:val="center"/>
            <w:shd w:fill="F3F6F8"/>
          </w:tcPr>
          <w:p>
            <w:r/>
            <w:r>
              <w:rPr>
                <w:rFonts w:ascii="Arial" w:hAnsi="Arial"/>
                <w:b w:val="0"/>
                <w:sz w:val="17"/>
              </w:rPr>
              <w:t>₹100.6</w:t>
            </w:r>
          </w:p>
        </w:tc>
        <w:tc>
          <w:tcPr>
            <w:tcW w:type="dxa" w:w="3360"/>
            <w:vAlign w:val="center"/>
            <w:shd w:fill="F3F6F8"/>
          </w:tcPr>
          <w:p>
            <w:r/>
            <w:r>
              <w:rPr>
                <w:rFonts w:ascii="Arial" w:hAnsi="Arial"/>
                <w:b w:val="0"/>
                <w:sz w:val="17"/>
              </w:rPr>
              <w:t>Model</w:t>
            </w:r>
          </w:p>
        </w:tc>
      </w:tr>
      <w:tr>
        <w:tc>
          <w:tcPr>
            <w:tcW w:type="dxa" w:w="3360"/>
            <w:vAlign w:val="center"/>
          </w:tcPr>
          <w:p>
            <w:r/>
            <w:r>
              <w:rPr>
                <w:rFonts w:ascii="Arial" w:hAnsi="Arial"/>
                <w:b/>
                <w:sz w:val="17"/>
              </w:rPr>
              <w:t>Current / FY29E P/E</w:t>
            </w:r>
          </w:p>
        </w:tc>
        <w:tc>
          <w:tcPr>
            <w:tcW w:type="dxa" w:w="3360"/>
            <w:vAlign w:val="center"/>
          </w:tcPr>
          <w:p>
            <w:r/>
            <w:r>
              <w:rPr>
                <w:rFonts w:ascii="Arial" w:hAnsi="Arial"/>
                <w:b w:val="0"/>
                <w:sz w:val="17"/>
              </w:rPr>
              <w:t>16.8x</w:t>
            </w:r>
          </w:p>
        </w:tc>
        <w:tc>
          <w:tcPr>
            <w:tcW w:type="dxa" w:w="3360"/>
            <w:vAlign w:val="center"/>
          </w:tcPr>
          <w:p>
            <w:r/>
            <w:r>
              <w:rPr>
                <w:rFonts w:ascii="Arial" w:hAnsi="Arial"/>
                <w:b w:val="0"/>
                <w:sz w:val="17"/>
              </w:rPr>
              <w:t>Market price / EPS</w:t>
            </w:r>
          </w:p>
        </w:tc>
      </w:tr>
      <w:tr>
        <w:tc>
          <w:tcPr>
            <w:tcW w:type="dxa" w:w="3360"/>
            <w:vAlign w:val="center"/>
            <w:shd w:fill="F3F6F8"/>
          </w:tcPr>
          <w:p>
            <w:r/>
            <w:r>
              <w:rPr>
                <w:rFonts w:ascii="Arial" w:hAnsi="Arial"/>
                <w:b/>
                <w:sz w:val="17"/>
              </w:rPr>
              <w:t>Target / FY29E P/E</w:t>
            </w:r>
          </w:p>
        </w:tc>
        <w:tc>
          <w:tcPr>
            <w:tcW w:type="dxa" w:w="3360"/>
            <w:vAlign w:val="center"/>
            <w:shd w:fill="F3F6F8"/>
          </w:tcPr>
          <w:p>
            <w:r/>
            <w:r>
              <w:rPr>
                <w:rFonts w:ascii="Arial" w:hAnsi="Arial"/>
                <w:b w:val="0"/>
                <w:sz w:val="17"/>
              </w:rPr>
              <w:t>20.9x</w:t>
            </w:r>
          </w:p>
        </w:tc>
        <w:tc>
          <w:tcPr>
            <w:tcW w:type="dxa" w:w="3360"/>
            <w:vAlign w:val="center"/>
            <w:shd w:fill="F3F6F8"/>
          </w:tcPr>
          <w:p>
            <w:r/>
            <w:r>
              <w:rPr>
                <w:rFonts w:ascii="Arial" w:hAnsi="Arial"/>
                <w:b w:val="0"/>
                <w:sz w:val="17"/>
              </w:rPr>
              <w:t>Target / EPS</w:t>
            </w:r>
          </w:p>
        </w:tc>
      </w:tr>
      <w:tr>
        <w:tc>
          <w:tcPr>
            <w:tcW w:type="dxa" w:w="3360"/>
            <w:vAlign w:val="center"/>
          </w:tcPr>
          <w:p>
            <w:r/>
            <w:r>
              <w:rPr>
                <w:rFonts w:ascii="Arial" w:hAnsi="Arial"/>
                <w:b/>
                <w:sz w:val="17"/>
              </w:rPr>
              <w:t>Target / FY30E P/E</w:t>
            </w:r>
          </w:p>
        </w:tc>
        <w:tc>
          <w:tcPr>
            <w:tcW w:type="dxa" w:w="3360"/>
            <w:vAlign w:val="center"/>
          </w:tcPr>
          <w:p>
            <w:r/>
            <w:r>
              <w:rPr>
                <w:rFonts w:ascii="Arial" w:hAnsi="Arial"/>
                <w:b w:val="0"/>
                <w:sz w:val="17"/>
              </w:rPr>
              <w:t>17.8x</w:t>
            </w:r>
          </w:p>
        </w:tc>
        <w:tc>
          <w:tcPr>
            <w:tcW w:type="dxa" w:w="3360"/>
            <w:vAlign w:val="center"/>
          </w:tcPr>
          <w:p>
            <w:r/>
            <w:r>
              <w:rPr>
                <w:rFonts w:ascii="Arial" w:hAnsi="Arial"/>
                <w:b w:val="0"/>
                <w:sz w:val="17"/>
              </w:rPr>
              <w:t>Target / EPS</w:t>
            </w:r>
          </w:p>
        </w:tc>
      </w:tr>
    </w:tbl>
    <w:p>
      <w:pPr>
        <w:pStyle w:val="Heading2"/>
      </w:pPr>
      <w:r>
        <w:t>What would make us wrong</w:t>
      </w:r>
    </w:p>
    <w:p>
      <w:pPr>
        <w:pStyle w:val="ListBullet"/>
        <w:spacing w:after="60"/>
      </w:pPr>
      <w:r>
        <w:t>Lannett utilization remains below 50% through FY29 or Seymour receives OAI, delaying site transfers.</w:t>
      </w:r>
    </w:p>
    <w:p>
      <w:pPr>
        <w:pStyle w:val="ListBullet"/>
        <w:spacing w:after="60"/>
      </w:pPr>
      <w:r>
        <w:t>Raleigh regresses or another major oral/API facility receives OAI, reversing the narrower quality-risk thesis.</w:t>
      </w:r>
    </w:p>
    <w:p>
      <w:pPr>
        <w:pStyle w:val="ListBullet"/>
        <w:spacing w:after="60"/>
      </w:pPr>
      <w:r>
        <w:t>Eugia remediation lasts beyond FY30 and existing supply becomes constrained, turning an approval delay into a revenue loss.</w:t>
      </w:r>
    </w:p>
    <w:p>
      <w:pPr>
        <w:pStyle w:val="ListBullet"/>
        <w:spacing w:after="60"/>
      </w:pPr>
      <w:r>
        <w:t>Pen-G export realizations fall below ₹1,650/kg, captive savings stay below ₹325/kg, or the plant cannot sustain 80% utilization.</w:t>
      </w:r>
    </w:p>
    <w:p>
      <w:pPr>
        <w:pStyle w:val="ListBullet"/>
        <w:spacing w:after="60"/>
      </w:pPr>
      <w:r>
        <w:t>Biosimilar tender conversion is slower than two to three quarters and the segment remains loss-making after FY29.</w:t>
      </w:r>
    </w:p>
    <w:p>
      <w:pPr>
        <w:pStyle w:val="ListBullet"/>
        <w:spacing w:after="60"/>
      </w:pPr>
      <w:r>
        <w:t>ADQUEY misses US$60m in FY29 and Product 2 is delayed; the dermatology fixed platform would stay under-absorbed.</w:t>
      </w:r>
    </w:p>
    <w:p>
      <w:pPr>
        <w:pStyle w:val="ListBullet"/>
        <w:spacing w:after="60"/>
      </w:pPr>
      <w:r>
        <w:t>US generic price erosion, tariffs or a sharper lenalidomide decline reduce core US margin below 23%.</w:t>
      </w:r>
    </w:p>
    <w:p>
      <w:pPr>
        <w:pStyle w:val="Heading2"/>
      </w:pPr>
      <w:r>
        <w:t>Monitoring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6B78"/>
          </w:tcPr>
          <w:p>
            <w:pPr>
              <w:jc w:val="center"/>
            </w:pPr>
            <w:r/>
            <w:r>
              <w:rPr>
                <w:rFonts w:ascii="Arial" w:hAnsi="Arial"/>
                <w:b/>
                <w:color w:val="FFFFFF"/>
                <w:sz w:val="16"/>
              </w:rPr>
              <w:t>Workstream</w:t>
            </w:r>
          </w:p>
        </w:tc>
        <w:tc>
          <w:tcPr>
            <w:tcW w:type="dxa" w:w="3360"/>
            <w:vAlign w:val="center"/>
            <w:shd w:fill="0F6B78"/>
          </w:tcPr>
          <w:p>
            <w:pPr>
              <w:jc w:val="center"/>
            </w:pPr>
            <w:r/>
            <w:r>
              <w:rPr>
                <w:rFonts w:ascii="Arial" w:hAnsi="Arial"/>
                <w:b/>
                <w:color w:val="FFFFFF"/>
                <w:sz w:val="16"/>
              </w:rPr>
              <w:t>Evidence needed</w:t>
            </w:r>
          </w:p>
        </w:tc>
        <w:tc>
          <w:tcPr>
            <w:tcW w:type="dxa" w:w="3360"/>
            <w:vAlign w:val="center"/>
            <w:shd w:fill="0F6B78"/>
          </w:tcPr>
          <w:p>
            <w:pPr>
              <w:jc w:val="center"/>
            </w:pPr>
            <w:r/>
            <w:r>
              <w:rPr>
                <w:rFonts w:ascii="Arial" w:hAnsi="Arial"/>
                <w:b/>
                <w:color w:val="FFFFFF"/>
                <w:sz w:val="16"/>
              </w:rPr>
              <w:t>Cadence</w:t>
            </w:r>
          </w:p>
        </w:tc>
      </w:tr>
      <w:tr>
        <w:tc>
          <w:tcPr>
            <w:tcW w:type="dxa" w:w="3360"/>
            <w:vAlign w:val="center"/>
          </w:tcPr>
          <w:p>
            <w:r/>
            <w:r>
              <w:rPr>
                <w:rFonts w:ascii="Arial" w:hAnsi="Arial"/>
                <w:b/>
                <w:sz w:val="16"/>
              </w:rPr>
              <w:t>Lannett</w:t>
            </w:r>
          </w:p>
        </w:tc>
        <w:tc>
          <w:tcPr>
            <w:tcW w:type="dxa" w:w="3360"/>
            <w:vAlign w:val="center"/>
          </w:tcPr>
          <w:p>
            <w:r/>
            <w:r>
              <w:rPr>
                <w:rFonts w:ascii="Arial" w:hAnsi="Arial"/>
                <w:b w:val="0"/>
                <w:sz w:val="16"/>
              </w:rPr>
              <w:t>Quarterly sales ≥US$60m; utilization &gt;45% by FY28</w:t>
            </w:r>
          </w:p>
        </w:tc>
        <w:tc>
          <w:tcPr>
            <w:tcW w:type="dxa" w:w="3360"/>
            <w:vAlign w:val="center"/>
          </w:tcPr>
          <w:p>
            <w:r/>
            <w:r>
              <w:rPr>
                <w:rFonts w:ascii="Arial" w:hAnsi="Arial"/>
                <w:b w:val="0"/>
                <w:sz w:val="16"/>
              </w:rPr>
              <w:t>Every quarter</w:t>
            </w:r>
          </w:p>
        </w:tc>
      </w:tr>
      <w:tr>
        <w:tc>
          <w:tcPr>
            <w:tcW w:type="dxa" w:w="3360"/>
            <w:vAlign w:val="center"/>
            <w:shd w:fill="F3F6F8"/>
          </w:tcPr>
          <w:p>
            <w:r/>
            <w:r>
              <w:rPr>
                <w:rFonts w:ascii="Arial" w:hAnsi="Arial"/>
                <w:b/>
                <w:sz w:val="16"/>
              </w:rPr>
              <w:t>Seymour / Raleigh</w:t>
            </w:r>
          </w:p>
        </w:tc>
        <w:tc>
          <w:tcPr>
            <w:tcW w:type="dxa" w:w="3360"/>
            <w:vAlign w:val="center"/>
            <w:shd w:fill="F3F6F8"/>
          </w:tcPr>
          <w:p>
            <w:r/>
            <w:r>
              <w:rPr>
                <w:rFonts w:ascii="Arial" w:hAnsi="Arial"/>
                <w:b w:val="0"/>
                <w:sz w:val="16"/>
              </w:rPr>
              <w:t>Final inspection status and ANDA progression</w:t>
            </w:r>
          </w:p>
        </w:tc>
        <w:tc>
          <w:tcPr>
            <w:tcW w:type="dxa" w:w="3360"/>
            <w:vAlign w:val="center"/>
            <w:shd w:fill="F3F6F8"/>
          </w:tcPr>
          <w:p>
            <w:r/>
            <w:r>
              <w:rPr>
                <w:rFonts w:ascii="Arial" w:hAnsi="Arial"/>
                <w:b w:val="0"/>
                <w:sz w:val="16"/>
              </w:rPr>
              <w:t>On disclosure</w:t>
            </w:r>
          </w:p>
        </w:tc>
      </w:tr>
      <w:tr>
        <w:tc>
          <w:tcPr>
            <w:tcW w:type="dxa" w:w="3360"/>
            <w:vAlign w:val="center"/>
          </w:tcPr>
          <w:p>
            <w:r/>
            <w:r>
              <w:rPr>
                <w:rFonts w:ascii="Arial" w:hAnsi="Arial"/>
                <w:b/>
                <w:sz w:val="16"/>
              </w:rPr>
              <w:t>Respiratory</w:t>
            </w:r>
          </w:p>
        </w:tc>
        <w:tc>
          <w:tcPr>
            <w:tcW w:type="dxa" w:w="3360"/>
            <w:vAlign w:val="center"/>
          </w:tcPr>
          <w:p>
            <w:r/>
            <w:r>
              <w:rPr>
                <w:rFonts w:ascii="Arial" w:hAnsi="Arial"/>
                <w:b w:val="0"/>
                <w:sz w:val="16"/>
              </w:rPr>
              <w:t>Advair share; QVAR launch quarter</w:t>
            </w:r>
          </w:p>
        </w:tc>
        <w:tc>
          <w:tcPr>
            <w:tcW w:type="dxa" w:w="3360"/>
            <w:vAlign w:val="center"/>
          </w:tcPr>
          <w:p>
            <w:r/>
            <w:r>
              <w:rPr>
                <w:rFonts w:ascii="Arial" w:hAnsi="Arial"/>
                <w:b w:val="0"/>
                <w:sz w:val="16"/>
              </w:rPr>
              <w:t>Quarterly</w:t>
            </w:r>
          </w:p>
        </w:tc>
      </w:tr>
      <w:tr>
        <w:tc>
          <w:tcPr>
            <w:tcW w:type="dxa" w:w="3360"/>
            <w:vAlign w:val="center"/>
            <w:shd w:fill="F3F6F8"/>
          </w:tcPr>
          <w:p>
            <w:r/>
            <w:r>
              <w:rPr>
                <w:rFonts w:ascii="Arial" w:hAnsi="Arial"/>
                <w:b/>
                <w:sz w:val="16"/>
              </w:rPr>
              <w:t>Eugia</w:t>
            </w:r>
          </w:p>
        </w:tc>
        <w:tc>
          <w:tcPr>
            <w:tcW w:type="dxa" w:w="3360"/>
            <w:vAlign w:val="center"/>
            <w:shd w:fill="F3F6F8"/>
          </w:tcPr>
          <w:p>
            <w:r/>
            <w:r>
              <w:rPr>
                <w:rFonts w:ascii="Arial" w:hAnsi="Arial"/>
                <w:b w:val="0"/>
                <w:sz w:val="16"/>
              </w:rPr>
              <w:t>OAI remediation and Unit III approvals</w:t>
            </w:r>
          </w:p>
        </w:tc>
        <w:tc>
          <w:tcPr>
            <w:tcW w:type="dxa" w:w="3360"/>
            <w:vAlign w:val="center"/>
            <w:shd w:fill="F3F6F8"/>
          </w:tcPr>
          <w:p>
            <w:r/>
            <w:r>
              <w:rPr>
                <w:rFonts w:ascii="Arial" w:hAnsi="Arial"/>
                <w:b w:val="0"/>
                <w:sz w:val="16"/>
              </w:rPr>
              <w:t>On FDA/company update</w:t>
            </w:r>
          </w:p>
        </w:tc>
      </w:tr>
      <w:tr>
        <w:tc>
          <w:tcPr>
            <w:tcW w:type="dxa" w:w="3360"/>
            <w:vAlign w:val="center"/>
          </w:tcPr>
          <w:p>
            <w:r/>
            <w:r>
              <w:rPr>
                <w:rFonts w:ascii="Arial" w:hAnsi="Arial"/>
                <w:b/>
                <w:sz w:val="16"/>
              </w:rPr>
              <w:t>Pen-G</w:t>
            </w:r>
          </w:p>
        </w:tc>
        <w:tc>
          <w:tcPr>
            <w:tcW w:type="dxa" w:w="3360"/>
            <w:vAlign w:val="center"/>
          </w:tcPr>
          <w:p>
            <w:r/>
            <w:r>
              <w:rPr>
                <w:rFonts w:ascii="Arial" w:hAnsi="Arial"/>
                <w:b w:val="0"/>
                <w:sz w:val="16"/>
              </w:rPr>
              <w:t>Monthly tonnes, external/export mix, ex-PLI EBITDA</w:t>
            </w:r>
          </w:p>
        </w:tc>
        <w:tc>
          <w:tcPr>
            <w:tcW w:type="dxa" w:w="3360"/>
            <w:vAlign w:val="center"/>
          </w:tcPr>
          <w:p>
            <w:r/>
            <w:r>
              <w:rPr>
                <w:rFonts w:ascii="Arial" w:hAnsi="Arial"/>
                <w:b w:val="0"/>
                <w:sz w:val="16"/>
              </w:rPr>
              <w:t>Quarterly</w:t>
            </w:r>
          </w:p>
        </w:tc>
      </w:tr>
      <w:tr>
        <w:tc>
          <w:tcPr>
            <w:tcW w:type="dxa" w:w="3360"/>
            <w:vAlign w:val="center"/>
            <w:shd w:fill="F3F6F8"/>
          </w:tcPr>
          <w:p>
            <w:r/>
            <w:r>
              <w:rPr>
                <w:rFonts w:ascii="Arial" w:hAnsi="Arial"/>
                <w:b/>
                <w:sz w:val="16"/>
              </w:rPr>
              <w:t>Biosimilars</w:t>
            </w:r>
          </w:p>
        </w:tc>
        <w:tc>
          <w:tcPr>
            <w:tcW w:type="dxa" w:w="3360"/>
            <w:vAlign w:val="center"/>
            <w:shd w:fill="F3F6F8"/>
          </w:tcPr>
          <w:p>
            <w:r/>
            <w:r>
              <w:rPr>
                <w:rFonts w:ascii="Arial" w:hAnsi="Arial"/>
                <w:b w:val="0"/>
                <w:sz w:val="16"/>
              </w:rPr>
              <w:t>Tender wins, EMA/US filings, segment break-even</w:t>
            </w:r>
          </w:p>
        </w:tc>
        <w:tc>
          <w:tcPr>
            <w:tcW w:type="dxa" w:w="3360"/>
            <w:vAlign w:val="center"/>
            <w:shd w:fill="F3F6F8"/>
          </w:tcPr>
          <w:p>
            <w:r/>
            <w:r>
              <w:rPr>
                <w:rFonts w:ascii="Arial" w:hAnsi="Arial"/>
                <w:b w:val="0"/>
                <w:sz w:val="16"/>
              </w:rPr>
              <w:t>Quarterly</w:t>
            </w:r>
          </w:p>
        </w:tc>
      </w:tr>
      <w:tr>
        <w:tc>
          <w:tcPr>
            <w:tcW w:type="dxa" w:w="3360"/>
            <w:vAlign w:val="center"/>
          </w:tcPr>
          <w:p>
            <w:r/>
            <w:r>
              <w:rPr>
                <w:rFonts w:ascii="Arial" w:hAnsi="Arial"/>
                <w:b/>
                <w:sz w:val="16"/>
              </w:rPr>
              <w:t>Dermatology</w:t>
            </w:r>
          </w:p>
        </w:tc>
        <w:tc>
          <w:tcPr>
            <w:tcW w:type="dxa" w:w="3360"/>
            <w:vAlign w:val="center"/>
          </w:tcPr>
          <w:p>
            <w:r/>
            <w:r>
              <w:rPr>
                <w:rFonts w:ascii="Arial" w:hAnsi="Arial"/>
                <w:b w:val="0"/>
                <w:sz w:val="16"/>
              </w:rPr>
              <w:t>ADQUEY net sales and identity/timing of Product 2</w:t>
            </w:r>
          </w:p>
        </w:tc>
        <w:tc>
          <w:tcPr>
            <w:tcW w:type="dxa" w:w="3360"/>
            <w:vAlign w:val="center"/>
          </w:tcPr>
          <w:p>
            <w:r/>
            <w:r>
              <w:rPr>
                <w:rFonts w:ascii="Arial" w:hAnsi="Arial"/>
                <w:b w:val="0"/>
                <w:sz w:val="16"/>
              </w:rPr>
              <w:t>Quarterly</w:t>
            </w:r>
          </w:p>
        </w:tc>
      </w:tr>
    </w:tbl>
    <w:p>
      <w:r>
        <w:br w:type="page"/>
      </w:r>
    </w:p>
    <w:p>
      <w:pPr>
        <w:pStyle w:val="Heading1"/>
      </w:pPr>
      <w:r>
        <w:t>Appendix: source map and modelling conventions</w:t>
      </w:r>
    </w:p>
    <w:p>
      <w:pPr>
        <w:spacing w:after="100" w:line="252" w:lineRule="auto"/>
      </w:pPr>
      <w:r>
        <w:t>All financial forecasts are analyst estimates unless explicitly described as reported or guided. ₹ crore figures may not add because of rounding. Market sizes are company-disclosed IQVIA figures where identified. Spiriva and Flovent TAMs, site-transfer routes, product-level launch shares, Pen-G export prices and the second dermatology asset are analyst inputs.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F6B78"/>
          </w:tcPr>
          <w:p>
            <w:pPr>
              <w:jc w:val="center"/>
            </w:pPr>
            <w:r/>
            <w:r>
              <w:rPr>
                <w:rFonts w:ascii="Arial" w:hAnsi="Arial"/>
                <w:b/>
                <w:color w:val="FFFFFF"/>
                <w:sz w:val="13"/>
              </w:rPr>
              <w:t>ID</w:t>
            </w:r>
          </w:p>
        </w:tc>
        <w:tc>
          <w:tcPr>
            <w:tcW w:type="dxa" w:w="2520"/>
            <w:vAlign w:val="center"/>
            <w:shd w:fill="0F6B78"/>
          </w:tcPr>
          <w:p>
            <w:pPr>
              <w:jc w:val="center"/>
            </w:pPr>
            <w:r/>
            <w:r>
              <w:rPr>
                <w:rFonts w:ascii="Arial" w:hAnsi="Arial"/>
                <w:b/>
                <w:color w:val="FFFFFF"/>
                <w:sz w:val="13"/>
              </w:rPr>
              <w:t>Source</w:t>
            </w:r>
          </w:p>
        </w:tc>
        <w:tc>
          <w:tcPr>
            <w:tcW w:type="dxa" w:w="2520"/>
            <w:vAlign w:val="center"/>
            <w:shd w:fill="0F6B78"/>
          </w:tcPr>
          <w:p>
            <w:pPr>
              <w:jc w:val="center"/>
            </w:pPr>
            <w:r/>
            <w:r>
              <w:rPr>
                <w:rFonts w:ascii="Arial" w:hAnsi="Arial"/>
                <w:b/>
                <w:color w:val="FFFFFF"/>
                <w:sz w:val="13"/>
              </w:rPr>
              <w:t>Used for</w:t>
            </w:r>
          </w:p>
        </w:tc>
        <w:tc>
          <w:tcPr>
            <w:tcW w:type="dxa" w:w="2520"/>
            <w:vAlign w:val="center"/>
            <w:shd w:fill="0F6B78"/>
          </w:tcPr>
          <w:p>
            <w:pPr>
              <w:jc w:val="center"/>
            </w:pPr>
            <w:r/>
            <w:r>
              <w:rPr>
                <w:rFonts w:ascii="Arial" w:hAnsi="Arial"/>
                <w:b/>
                <w:color w:val="FFFFFF"/>
                <w:sz w:val="13"/>
              </w:rPr>
              <w:t>Date</w:t>
            </w:r>
          </w:p>
        </w:tc>
      </w:tr>
      <w:tr>
        <w:tc>
          <w:tcPr>
            <w:tcW w:type="dxa" w:w="2520"/>
            <w:vAlign w:val="center"/>
          </w:tcPr>
          <w:p>
            <w:r/>
            <w:r>
              <w:rPr>
                <w:rFonts w:ascii="Arial" w:hAnsi="Arial"/>
                <w:b/>
                <w:sz w:val="13"/>
              </w:rPr>
              <w:t>S1</w:t>
            </w:r>
          </w:p>
        </w:tc>
        <w:tc>
          <w:tcPr>
            <w:tcW w:type="dxa" w:w="2520"/>
            <w:vAlign w:val="center"/>
          </w:tcPr>
          <w:p>
            <w:r/>
            <w:r>
              <w:rPr>
                <w:rFonts w:ascii="Arial" w:hAnsi="Arial"/>
                <w:b w:val="0"/>
                <w:sz w:val="13"/>
              </w:rPr>
              <w:t>Uploaded sector initiation note</w:t>
            </w:r>
          </w:p>
        </w:tc>
        <w:tc>
          <w:tcPr>
            <w:tcW w:type="dxa" w:w="2520"/>
            <w:vAlign w:val="center"/>
          </w:tcPr>
          <w:p>
            <w:r/>
            <w:r>
              <w:rPr>
                <w:rFonts w:ascii="Arial" w:hAnsi="Arial"/>
                <w:b w:val="0"/>
                <w:sz w:val="13"/>
              </w:rPr>
              <w:t>Original Market-Perform rating, ₹1,498 target, old forecasts and objections</w:t>
            </w:r>
          </w:p>
        </w:tc>
        <w:tc>
          <w:tcPr>
            <w:tcW w:type="dxa" w:w="2520"/>
            <w:vAlign w:val="center"/>
          </w:tcPr>
          <w:p>
            <w:r/>
            <w:r>
              <w:rPr>
                <w:rFonts w:ascii="Arial" w:hAnsi="Arial"/>
                <w:b w:val="0"/>
                <w:sz w:val="13"/>
              </w:rPr>
              <w:t>30 Aug 2026</w:t>
            </w:r>
          </w:p>
        </w:tc>
      </w:tr>
      <w:tr>
        <w:tc>
          <w:tcPr>
            <w:tcW w:type="dxa" w:w="2520"/>
            <w:vAlign w:val="center"/>
            <w:shd w:fill="F3F6F8"/>
          </w:tcPr>
          <w:p>
            <w:r/>
            <w:r>
              <w:rPr>
                <w:rFonts w:ascii="Arial" w:hAnsi="Arial"/>
                <w:b/>
                <w:sz w:val="13"/>
              </w:rPr>
              <w:t>S2</w:t>
            </w:r>
          </w:p>
        </w:tc>
        <w:tc>
          <w:tcPr>
            <w:tcW w:type="dxa" w:w="2520"/>
            <w:vAlign w:val="center"/>
            <w:shd w:fill="F3F6F8"/>
          </w:tcPr>
          <w:p>
            <w:r/>
            <w:r>
              <w:rPr>
                <w:rFonts w:ascii="Arial" w:hAnsi="Arial"/>
                <w:b w:val="0"/>
                <w:sz w:val="13"/>
              </w:rPr>
              <w:t>Aurobindo Q4/FY26 press release</w:t>
            </w:r>
          </w:p>
        </w:tc>
        <w:tc>
          <w:tcPr>
            <w:tcW w:type="dxa" w:w="2520"/>
            <w:vAlign w:val="center"/>
            <w:shd w:fill="F3F6F8"/>
          </w:tcPr>
          <w:p>
            <w:r/>
            <w:r>
              <w:rPr>
                <w:rFonts w:ascii="Arial" w:hAnsi="Arial"/>
                <w:b w:val="0"/>
                <w:sz w:val="13"/>
              </w:rPr>
              <w:t>FY26 revenue, EBITDA, PAT and geography/API revenue</w:t>
            </w:r>
          </w:p>
        </w:tc>
        <w:tc>
          <w:tcPr>
            <w:tcW w:type="dxa" w:w="2520"/>
            <w:vAlign w:val="center"/>
            <w:shd w:fill="F3F6F8"/>
          </w:tcPr>
          <w:p>
            <w:r/>
            <w:r>
              <w:rPr>
                <w:rFonts w:ascii="Arial" w:hAnsi="Arial"/>
                <w:b w:val="0"/>
                <w:sz w:val="13"/>
              </w:rPr>
              <w:t>21 May 2026</w:t>
            </w:r>
          </w:p>
        </w:tc>
      </w:tr>
      <w:tr>
        <w:tc>
          <w:tcPr>
            <w:tcW w:type="dxa" w:w="2520"/>
            <w:vAlign w:val="center"/>
          </w:tcPr>
          <w:p>
            <w:r/>
            <w:r>
              <w:rPr>
                <w:rFonts w:ascii="Arial" w:hAnsi="Arial"/>
                <w:b/>
                <w:sz w:val="13"/>
              </w:rPr>
              <w:t>S3</w:t>
            </w:r>
          </w:p>
        </w:tc>
        <w:tc>
          <w:tcPr>
            <w:tcW w:type="dxa" w:w="2520"/>
            <w:vAlign w:val="center"/>
          </w:tcPr>
          <w:p>
            <w:r/>
            <w:r>
              <w:rPr>
                <w:rFonts w:ascii="Arial" w:hAnsi="Arial"/>
                <w:b w:val="0"/>
                <w:sz w:val="13"/>
              </w:rPr>
              <w:t>Aurobindo Q1FY27 earnings presentation</w:t>
            </w:r>
          </w:p>
        </w:tc>
        <w:tc>
          <w:tcPr>
            <w:tcW w:type="dxa" w:w="2520"/>
            <w:vAlign w:val="center"/>
          </w:tcPr>
          <w:p>
            <w:r/>
            <w:r>
              <w:rPr>
                <w:rFonts w:ascii="Arial" w:hAnsi="Arial"/>
                <w:b w:val="0"/>
                <w:sz w:val="13"/>
              </w:rPr>
              <w:t>Q1 financials, filings, biosimilar pipeline and country launches</w:t>
            </w:r>
          </w:p>
        </w:tc>
        <w:tc>
          <w:tcPr>
            <w:tcW w:type="dxa" w:w="2520"/>
            <w:vAlign w:val="center"/>
          </w:tcPr>
          <w:p>
            <w:r/>
            <w:r>
              <w:rPr>
                <w:rFonts w:ascii="Arial" w:hAnsi="Arial"/>
                <w:b w:val="0"/>
                <w:sz w:val="13"/>
              </w:rPr>
              <w:t>5 Aug 2026</w:t>
            </w:r>
          </w:p>
        </w:tc>
      </w:tr>
      <w:tr>
        <w:tc>
          <w:tcPr>
            <w:tcW w:type="dxa" w:w="2520"/>
            <w:vAlign w:val="center"/>
            <w:shd w:fill="F3F6F8"/>
          </w:tcPr>
          <w:p>
            <w:r/>
            <w:r>
              <w:rPr>
                <w:rFonts w:ascii="Arial" w:hAnsi="Arial"/>
                <w:b/>
                <w:sz w:val="13"/>
              </w:rPr>
              <w:t>S4</w:t>
            </w:r>
          </w:p>
        </w:tc>
        <w:tc>
          <w:tcPr>
            <w:tcW w:type="dxa" w:w="2520"/>
            <w:vAlign w:val="center"/>
            <w:shd w:fill="F3F6F8"/>
          </w:tcPr>
          <w:p>
            <w:r/>
            <w:r>
              <w:rPr>
                <w:rFonts w:ascii="Arial" w:hAnsi="Arial"/>
                <w:b w:val="0"/>
                <w:sz w:val="13"/>
              </w:rPr>
              <w:t>Aurobindo Q1FY27 earnings call transcript</w:t>
            </w:r>
          </w:p>
        </w:tc>
        <w:tc>
          <w:tcPr>
            <w:tcW w:type="dxa" w:w="2520"/>
            <w:vAlign w:val="center"/>
            <w:shd w:fill="F3F6F8"/>
          </w:tcPr>
          <w:p>
            <w:r/>
            <w:r>
              <w:rPr>
                <w:rFonts w:ascii="Arial" w:hAnsi="Arial"/>
                <w:b w:val="0"/>
                <w:sz w:val="13"/>
              </w:rPr>
              <w:t>Lannett run-rate/utilization/synergies; Pen-G run-rate and demand; biosimilar filings; Eugia guidance</w:t>
            </w:r>
          </w:p>
        </w:tc>
        <w:tc>
          <w:tcPr>
            <w:tcW w:type="dxa" w:w="2520"/>
            <w:vAlign w:val="center"/>
            <w:shd w:fill="F3F6F8"/>
          </w:tcPr>
          <w:p>
            <w:r/>
            <w:r>
              <w:rPr>
                <w:rFonts w:ascii="Arial" w:hAnsi="Arial"/>
                <w:b w:val="0"/>
                <w:sz w:val="13"/>
              </w:rPr>
              <w:t>Aug 2026</w:t>
            </w:r>
          </w:p>
        </w:tc>
      </w:tr>
      <w:tr>
        <w:tc>
          <w:tcPr>
            <w:tcW w:type="dxa" w:w="2520"/>
            <w:vAlign w:val="center"/>
          </w:tcPr>
          <w:p>
            <w:r/>
            <w:r>
              <w:rPr>
                <w:rFonts w:ascii="Arial" w:hAnsi="Arial"/>
                <w:b/>
                <w:sz w:val="13"/>
              </w:rPr>
              <w:t>S5</w:t>
            </w:r>
          </w:p>
        </w:tc>
        <w:tc>
          <w:tcPr>
            <w:tcW w:type="dxa" w:w="2520"/>
            <w:vAlign w:val="center"/>
          </w:tcPr>
          <w:p>
            <w:r/>
            <w:r>
              <w:rPr>
                <w:rFonts w:ascii="Arial" w:hAnsi="Arial"/>
                <w:b w:val="0"/>
                <w:sz w:val="13"/>
              </w:rPr>
              <w:t>Lannett transaction summary</w:t>
            </w:r>
          </w:p>
        </w:tc>
        <w:tc>
          <w:tcPr>
            <w:tcW w:type="dxa" w:w="2520"/>
            <w:vAlign w:val="center"/>
          </w:tcPr>
          <w:p>
            <w:r/>
            <w:r>
              <w:rPr>
                <w:rFonts w:ascii="Arial" w:hAnsi="Arial"/>
                <w:b w:val="0"/>
                <w:sz w:val="13"/>
              </w:rPr>
              <w:t>$250m price, $306m FY25 sales, 3.6bn dose capacity, 1.4bn output and FY25 business mix</w:t>
            </w:r>
          </w:p>
        </w:tc>
        <w:tc>
          <w:tcPr>
            <w:tcW w:type="dxa" w:w="2520"/>
            <w:vAlign w:val="center"/>
          </w:tcPr>
          <w:p>
            <w:r/>
            <w:r>
              <w:rPr>
                <w:rFonts w:ascii="Arial" w:hAnsi="Arial"/>
                <w:b w:val="0"/>
                <w:sz w:val="13"/>
              </w:rPr>
              <w:t>30 Jul 2025</w:t>
            </w:r>
          </w:p>
        </w:tc>
      </w:tr>
      <w:tr>
        <w:tc>
          <w:tcPr>
            <w:tcW w:type="dxa" w:w="2520"/>
            <w:vAlign w:val="center"/>
            <w:shd w:fill="F3F6F8"/>
          </w:tcPr>
          <w:p>
            <w:r/>
            <w:r>
              <w:rPr>
                <w:rFonts w:ascii="Arial" w:hAnsi="Arial"/>
                <w:b/>
                <w:sz w:val="13"/>
              </w:rPr>
              <w:t>S6</w:t>
            </w:r>
          </w:p>
        </w:tc>
        <w:tc>
          <w:tcPr>
            <w:tcW w:type="dxa" w:w="2520"/>
            <w:vAlign w:val="center"/>
            <w:shd w:fill="F3F6F8"/>
          </w:tcPr>
          <w:p>
            <w:r/>
            <w:r>
              <w:rPr>
                <w:rFonts w:ascii="Arial" w:hAnsi="Arial"/>
                <w:b w:val="0"/>
                <w:sz w:val="13"/>
              </w:rPr>
              <w:t>Lannett FTC approval press release</w:t>
            </w:r>
          </w:p>
        </w:tc>
        <w:tc>
          <w:tcPr>
            <w:tcW w:type="dxa" w:w="2520"/>
            <w:vAlign w:val="center"/>
            <w:shd w:fill="F3F6F8"/>
          </w:tcPr>
          <w:p>
            <w:r/>
            <w:r>
              <w:rPr>
                <w:rFonts w:ascii="Arial" w:hAnsi="Arial"/>
                <w:b w:val="0"/>
                <w:sz w:val="13"/>
              </w:rPr>
              <w:t>Acquisition terms, approximately 4bn dose capacity and strategic rationale</w:t>
            </w:r>
          </w:p>
        </w:tc>
        <w:tc>
          <w:tcPr>
            <w:tcW w:type="dxa" w:w="2520"/>
            <w:vAlign w:val="center"/>
            <w:shd w:fill="F3F6F8"/>
          </w:tcPr>
          <w:p>
            <w:r/>
            <w:r>
              <w:rPr>
                <w:rFonts w:ascii="Arial" w:hAnsi="Arial"/>
                <w:b w:val="0"/>
                <w:sz w:val="13"/>
              </w:rPr>
              <w:t>22 Jun 2026</w:t>
            </w:r>
          </w:p>
        </w:tc>
      </w:tr>
      <w:tr>
        <w:tc>
          <w:tcPr>
            <w:tcW w:type="dxa" w:w="2520"/>
            <w:vAlign w:val="center"/>
          </w:tcPr>
          <w:p>
            <w:r/>
            <w:r>
              <w:rPr>
                <w:rFonts w:ascii="Arial" w:hAnsi="Arial"/>
                <w:b/>
                <w:sz w:val="13"/>
              </w:rPr>
              <w:t>S7</w:t>
            </w:r>
          </w:p>
        </w:tc>
        <w:tc>
          <w:tcPr>
            <w:tcW w:type="dxa" w:w="2520"/>
            <w:vAlign w:val="center"/>
          </w:tcPr>
          <w:p>
            <w:r/>
            <w:r>
              <w:rPr>
                <w:rFonts w:ascii="Arial" w:hAnsi="Arial"/>
                <w:b w:val="0"/>
                <w:sz w:val="13"/>
              </w:rPr>
              <w:t>FTC Aurobindo-Lannett case</w:t>
            </w:r>
          </w:p>
        </w:tc>
        <w:tc>
          <w:tcPr>
            <w:tcW w:type="dxa" w:w="2520"/>
            <w:vAlign w:val="center"/>
          </w:tcPr>
          <w:p>
            <w:r/>
            <w:r>
              <w:rPr>
                <w:rFonts w:ascii="Arial" w:hAnsi="Arial"/>
                <w:b w:val="0"/>
                <w:sz w:val="13"/>
              </w:rPr>
              <w:t>Four product divestitures and divested product identities</w:t>
            </w:r>
          </w:p>
        </w:tc>
        <w:tc>
          <w:tcPr>
            <w:tcW w:type="dxa" w:w="2520"/>
            <w:vAlign w:val="center"/>
          </w:tcPr>
          <w:p>
            <w:r/>
            <w:r>
              <w:rPr>
                <w:rFonts w:ascii="Arial" w:hAnsi="Arial"/>
                <w:b w:val="0"/>
                <w:sz w:val="13"/>
              </w:rPr>
              <w:t>18 Jun 2026</w:t>
            </w:r>
          </w:p>
        </w:tc>
      </w:tr>
      <w:tr>
        <w:tc>
          <w:tcPr>
            <w:tcW w:type="dxa" w:w="2520"/>
            <w:vAlign w:val="center"/>
            <w:shd w:fill="F3F6F8"/>
          </w:tcPr>
          <w:p>
            <w:r/>
            <w:r>
              <w:rPr>
                <w:rFonts w:ascii="Arial" w:hAnsi="Arial"/>
                <w:b/>
                <w:sz w:val="13"/>
              </w:rPr>
              <w:t>S8</w:t>
            </w:r>
          </w:p>
        </w:tc>
        <w:tc>
          <w:tcPr>
            <w:tcW w:type="dxa" w:w="2520"/>
            <w:vAlign w:val="center"/>
            <w:shd w:fill="F3F6F8"/>
          </w:tcPr>
          <w:p>
            <w:r/>
            <w:r>
              <w:rPr>
                <w:rFonts w:ascii="Arial" w:hAnsi="Arial"/>
                <w:b w:val="0"/>
                <w:sz w:val="13"/>
              </w:rPr>
              <w:t>Lannett Seymour FDA inspection disclosure</w:t>
            </w:r>
          </w:p>
        </w:tc>
        <w:tc>
          <w:tcPr>
            <w:tcW w:type="dxa" w:w="2520"/>
            <w:vAlign w:val="center"/>
            <w:shd w:fill="F3F6F8"/>
          </w:tcPr>
          <w:p>
            <w:r/>
            <w:r>
              <w:rPr>
                <w:rFonts w:ascii="Arial" w:hAnsi="Arial"/>
                <w:b w:val="0"/>
                <w:sz w:val="13"/>
              </w:rPr>
              <w:t>Four procedural observations in August 2026 inspection</w:t>
            </w:r>
          </w:p>
        </w:tc>
        <w:tc>
          <w:tcPr>
            <w:tcW w:type="dxa" w:w="2520"/>
            <w:vAlign w:val="center"/>
            <w:shd w:fill="F3F6F8"/>
          </w:tcPr>
          <w:p>
            <w:r/>
            <w:r>
              <w:rPr>
                <w:rFonts w:ascii="Arial" w:hAnsi="Arial"/>
                <w:b w:val="0"/>
                <w:sz w:val="13"/>
              </w:rPr>
              <w:t>24 Aug 2026</w:t>
            </w:r>
          </w:p>
        </w:tc>
      </w:tr>
      <w:tr>
        <w:tc>
          <w:tcPr>
            <w:tcW w:type="dxa" w:w="2520"/>
            <w:vAlign w:val="center"/>
          </w:tcPr>
          <w:p>
            <w:r/>
            <w:r>
              <w:rPr>
                <w:rFonts w:ascii="Arial" w:hAnsi="Arial"/>
                <w:b/>
                <w:sz w:val="13"/>
              </w:rPr>
              <w:t>S9</w:t>
            </w:r>
          </w:p>
        </w:tc>
        <w:tc>
          <w:tcPr>
            <w:tcW w:type="dxa" w:w="2520"/>
            <w:vAlign w:val="center"/>
          </w:tcPr>
          <w:p>
            <w:r/>
            <w:r>
              <w:rPr>
                <w:rFonts w:ascii="Arial" w:hAnsi="Arial"/>
                <w:b w:val="0"/>
                <w:sz w:val="13"/>
              </w:rPr>
              <w:t>Raleigh VAI/EIR disclosure</w:t>
            </w:r>
          </w:p>
        </w:tc>
        <w:tc>
          <w:tcPr>
            <w:tcW w:type="dxa" w:w="2520"/>
            <w:vAlign w:val="center"/>
          </w:tcPr>
          <w:p>
            <w:r/>
            <w:r>
              <w:rPr>
                <w:rFonts w:ascii="Arial" w:hAnsi="Arial"/>
                <w:b w:val="0"/>
                <w:sz w:val="13"/>
              </w:rPr>
              <w:t>VAI classification, inspection closed; pending inhaler/derma applications can progress</w:t>
            </w:r>
          </w:p>
        </w:tc>
        <w:tc>
          <w:tcPr>
            <w:tcW w:type="dxa" w:w="2520"/>
            <w:vAlign w:val="center"/>
          </w:tcPr>
          <w:p>
            <w:r/>
            <w:r>
              <w:rPr>
                <w:rFonts w:ascii="Arial" w:hAnsi="Arial"/>
                <w:b w:val="0"/>
                <w:sz w:val="13"/>
              </w:rPr>
              <w:t>17 Aug 2026</w:t>
            </w:r>
          </w:p>
        </w:tc>
      </w:tr>
      <w:tr>
        <w:tc>
          <w:tcPr>
            <w:tcW w:type="dxa" w:w="2520"/>
            <w:vAlign w:val="center"/>
            <w:shd w:fill="F3F6F8"/>
          </w:tcPr>
          <w:p>
            <w:r/>
            <w:r>
              <w:rPr>
                <w:rFonts w:ascii="Arial" w:hAnsi="Arial"/>
                <w:b/>
                <w:sz w:val="13"/>
              </w:rPr>
              <w:t>S10</w:t>
            </w:r>
          </w:p>
        </w:tc>
        <w:tc>
          <w:tcPr>
            <w:tcW w:type="dxa" w:w="2520"/>
            <w:vAlign w:val="center"/>
            <w:shd w:fill="F3F6F8"/>
          </w:tcPr>
          <w:p>
            <w:r/>
            <w:r>
              <w:rPr>
                <w:rFonts w:ascii="Arial" w:hAnsi="Arial"/>
                <w:b w:val="0"/>
                <w:sz w:val="13"/>
              </w:rPr>
              <w:t>Eugia Unit I warning letter disclosure</w:t>
            </w:r>
          </w:p>
        </w:tc>
        <w:tc>
          <w:tcPr>
            <w:tcW w:type="dxa" w:w="2520"/>
            <w:vAlign w:val="center"/>
            <w:shd w:fill="F3F6F8"/>
          </w:tcPr>
          <w:p>
            <w:r/>
            <w:r>
              <w:rPr>
                <w:rFonts w:ascii="Arial" w:hAnsi="Arial"/>
                <w:b w:val="0"/>
                <w:sz w:val="13"/>
              </w:rPr>
              <w:t>OAI/Warning Letter; current supply unchanged; approximately 2% of group revenue</w:t>
            </w:r>
          </w:p>
        </w:tc>
        <w:tc>
          <w:tcPr>
            <w:tcW w:type="dxa" w:w="2520"/>
            <w:vAlign w:val="center"/>
            <w:shd w:fill="F3F6F8"/>
          </w:tcPr>
          <w:p>
            <w:r/>
            <w:r>
              <w:rPr>
                <w:rFonts w:ascii="Arial" w:hAnsi="Arial"/>
                <w:b w:val="0"/>
                <w:sz w:val="13"/>
              </w:rPr>
              <w:t>14 Aug 2026</w:t>
            </w:r>
          </w:p>
        </w:tc>
      </w:tr>
      <w:tr>
        <w:tc>
          <w:tcPr>
            <w:tcW w:type="dxa" w:w="2520"/>
            <w:vAlign w:val="center"/>
          </w:tcPr>
          <w:p>
            <w:r/>
            <w:r>
              <w:rPr>
                <w:rFonts w:ascii="Arial" w:hAnsi="Arial"/>
                <w:b/>
                <w:sz w:val="13"/>
              </w:rPr>
              <w:t>S11</w:t>
            </w:r>
          </w:p>
        </w:tc>
        <w:tc>
          <w:tcPr>
            <w:tcW w:type="dxa" w:w="2520"/>
            <w:vAlign w:val="center"/>
          </w:tcPr>
          <w:p>
            <w:r/>
            <w:r>
              <w:rPr>
                <w:rFonts w:ascii="Arial" w:hAnsi="Arial"/>
                <w:b w:val="0"/>
                <w:sz w:val="13"/>
              </w:rPr>
              <w:t>Eugia Unit III OAI disclosure</w:t>
            </w:r>
          </w:p>
        </w:tc>
        <w:tc>
          <w:tcPr>
            <w:tcW w:type="dxa" w:w="2520"/>
            <w:vAlign w:val="center"/>
          </w:tcPr>
          <w:p>
            <w:r/>
            <w:r>
              <w:rPr>
                <w:rFonts w:ascii="Arial" w:hAnsi="Arial"/>
                <w:b w:val="0"/>
                <w:sz w:val="13"/>
              </w:rPr>
              <w:t>11 observations and OAI classification</w:t>
            </w:r>
          </w:p>
        </w:tc>
        <w:tc>
          <w:tcPr>
            <w:tcW w:type="dxa" w:w="2520"/>
            <w:vAlign w:val="center"/>
          </w:tcPr>
          <w:p>
            <w:r/>
            <w:r>
              <w:rPr>
                <w:rFonts w:ascii="Arial" w:hAnsi="Arial"/>
                <w:b w:val="0"/>
                <w:sz w:val="13"/>
              </w:rPr>
              <w:t>12 Jun 2026</w:t>
            </w:r>
          </w:p>
        </w:tc>
      </w:tr>
      <w:tr>
        <w:tc>
          <w:tcPr>
            <w:tcW w:type="dxa" w:w="2520"/>
            <w:vAlign w:val="center"/>
            <w:shd w:fill="F3F6F8"/>
          </w:tcPr>
          <w:p>
            <w:r/>
            <w:r>
              <w:rPr>
                <w:rFonts w:ascii="Arial" w:hAnsi="Arial"/>
                <w:b/>
                <w:sz w:val="13"/>
              </w:rPr>
              <w:t>S12</w:t>
            </w:r>
          </w:p>
        </w:tc>
        <w:tc>
          <w:tcPr>
            <w:tcW w:type="dxa" w:w="2520"/>
            <w:vAlign w:val="center"/>
            <w:shd w:fill="F3F6F8"/>
          </w:tcPr>
          <w:p>
            <w:r/>
            <w:r>
              <w:rPr>
                <w:rFonts w:ascii="Arial" w:hAnsi="Arial"/>
                <w:b w:val="0"/>
                <w:sz w:val="13"/>
              </w:rPr>
              <w:t>Eugia Unit II OAI disclosure</w:t>
            </w:r>
          </w:p>
        </w:tc>
        <w:tc>
          <w:tcPr>
            <w:tcW w:type="dxa" w:w="2520"/>
            <w:vAlign w:val="center"/>
            <w:shd w:fill="F3F6F8"/>
          </w:tcPr>
          <w:p>
            <w:r/>
            <w:r>
              <w:rPr>
                <w:rFonts w:ascii="Arial" w:hAnsi="Arial"/>
                <w:b w:val="0"/>
                <w:sz w:val="13"/>
              </w:rPr>
              <w:t>Nine observations and OAI classification</w:t>
            </w:r>
          </w:p>
        </w:tc>
        <w:tc>
          <w:tcPr>
            <w:tcW w:type="dxa" w:w="2520"/>
            <w:vAlign w:val="center"/>
            <w:shd w:fill="F3F6F8"/>
          </w:tcPr>
          <w:p>
            <w:r/>
            <w:r>
              <w:rPr>
                <w:rFonts w:ascii="Arial" w:hAnsi="Arial"/>
                <w:b w:val="0"/>
                <w:sz w:val="13"/>
              </w:rPr>
              <w:t>17 Mar 2026</w:t>
            </w:r>
          </w:p>
        </w:tc>
      </w:tr>
      <w:tr>
        <w:tc>
          <w:tcPr>
            <w:tcW w:type="dxa" w:w="2520"/>
            <w:vAlign w:val="center"/>
          </w:tcPr>
          <w:p>
            <w:r/>
            <w:r>
              <w:rPr>
                <w:rFonts w:ascii="Arial" w:hAnsi="Arial"/>
                <w:b/>
                <w:sz w:val="13"/>
              </w:rPr>
              <w:t>S13</w:t>
            </w:r>
          </w:p>
        </w:tc>
        <w:tc>
          <w:tcPr>
            <w:tcW w:type="dxa" w:w="2520"/>
            <w:vAlign w:val="center"/>
          </w:tcPr>
          <w:p>
            <w:r/>
            <w:r>
              <w:rPr>
                <w:rFonts w:ascii="Arial" w:hAnsi="Arial"/>
                <w:b w:val="0"/>
                <w:sz w:val="13"/>
              </w:rPr>
              <w:t>QVAR generic approval press release</w:t>
            </w:r>
          </w:p>
        </w:tc>
        <w:tc>
          <w:tcPr>
            <w:tcW w:type="dxa" w:w="2520"/>
            <w:vAlign w:val="center"/>
          </w:tcPr>
          <w:p>
            <w:r/>
            <w:r>
              <w:rPr>
                <w:rFonts w:ascii="Arial" w:hAnsi="Arial"/>
                <w:b w:val="0"/>
                <w:sz w:val="13"/>
              </w:rPr>
              <w:t>First Aurobindo MDI; Raleigh manufacturing; $301m reference/new-version market</w:t>
            </w:r>
          </w:p>
        </w:tc>
        <w:tc>
          <w:tcPr>
            <w:tcW w:type="dxa" w:w="2520"/>
            <w:vAlign w:val="center"/>
          </w:tcPr>
          <w:p>
            <w:r/>
            <w:r>
              <w:rPr>
                <w:rFonts w:ascii="Arial" w:hAnsi="Arial"/>
                <w:b w:val="0"/>
                <w:sz w:val="13"/>
              </w:rPr>
              <w:t>15 Sep 2026</w:t>
            </w:r>
          </w:p>
        </w:tc>
      </w:tr>
      <w:tr>
        <w:tc>
          <w:tcPr>
            <w:tcW w:type="dxa" w:w="2520"/>
            <w:vAlign w:val="center"/>
            <w:shd w:fill="F3F6F8"/>
          </w:tcPr>
          <w:p>
            <w:r/>
            <w:r>
              <w:rPr>
                <w:rFonts w:ascii="Arial" w:hAnsi="Arial"/>
                <w:b/>
                <w:sz w:val="13"/>
              </w:rPr>
              <w:t>S14</w:t>
            </w:r>
          </w:p>
        </w:tc>
        <w:tc>
          <w:tcPr>
            <w:tcW w:type="dxa" w:w="2520"/>
            <w:vAlign w:val="center"/>
            <w:shd w:fill="F3F6F8"/>
          </w:tcPr>
          <w:p>
            <w:r/>
            <w:r>
              <w:rPr>
                <w:rFonts w:ascii="Arial" w:hAnsi="Arial"/>
                <w:b w:val="0"/>
                <w:sz w:val="13"/>
              </w:rPr>
              <w:t>Aurobindo press release index: Advair launch</w:t>
            </w:r>
          </w:p>
        </w:tc>
        <w:tc>
          <w:tcPr>
            <w:tcW w:type="dxa" w:w="2520"/>
            <w:vAlign w:val="center"/>
            <w:shd w:fill="F3F6F8"/>
          </w:tcPr>
          <w:p>
            <w:r/>
            <w:r>
              <w:rPr>
                <w:rFonts w:ascii="Arial" w:hAnsi="Arial"/>
                <w:b w:val="0"/>
                <w:sz w:val="13"/>
              </w:rPr>
              <w:t>Generic Advair launch in 100/50 and 250/50 strengths; disclosed market $908m</w:t>
            </w:r>
          </w:p>
        </w:tc>
        <w:tc>
          <w:tcPr>
            <w:tcW w:type="dxa" w:w="2520"/>
            <w:vAlign w:val="center"/>
            <w:shd w:fill="F3F6F8"/>
          </w:tcPr>
          <w:p>
            <w:r/>
            <w:r>
              <w:rPr>
                <w:rFonts w:ascii="Arial" w:hAnsi="Arial"/>
                <w:b w:val="0"/>
                <w:sz w:val="13"/>
              </w:rPr>
              <w:t>31 Aug 2026</w:t>
            </w:r>
          </w:p>
        </w:tc>
      </w:tr>
      <w:tr>
        <w:tc>
          <w:tcPr>
            <w:tcW w:type="dxa" w:w="2520"/>
            <w:vAlign w:val="center"/>
          </w:tcPr>
          <w:p>
            <w:r/>
            <w:r>
              <w:rPr>
                <w:rFonts w:ascii="Arial" w:hAnsi="Arial"/>
                <w:b/>
                <w:sz w:val="13"/>
              </w:rPr>
              <w:t>S15</w:t>
            </w:r>
          </w:p>
        </w:tc>
        <w:tc>
          <w:tcPr>
            <w:tcW w:type="dxa" w:w="2520"/>
            <w:vAlign w:val="center"/>
          </w:tcPr>
          <w:p>
            <w:r/>
            <w:r>
              <w:rPr>
                <w:rFonts w:ascii="Arial" w:hAnsi="Arial"/>
                <w:b w:val="0"/>
                <w:sz w:val="13"/>
              </w:rPr>
              <w:t>Government of India PIB: bulk-drug PLI</w:t>
            </w:r>
          </w:p>
        </w:tc>
        <w:tc>
          <w:tcPr>
            <w:tcW w:type="dxa" w:w="2520"/>
            <w:vAlign w:val="center"/>
          </w:tcPr>
          <w:p>
            <w:r/>
            <w:r>
              <w:rPr>
                <w:rFonts w:ascii="Arial" w:hAnsi="Arial"/>
                <w:b w:val="0"/>
                <w:sz w:val="13"/>
              </w:rPr>
              <w:t>₹2,270.05cr Pen-G plant investment, 15,000MT capacity, ₹1,191cr cumulative production and &gt;90% domestic value add</w:t>
            </w:r>
          </w:p>
        </w:tc>
        <w:tc>
          <w:tcPr>
            <w:tcW w:type="dxa" w:w="2520"/>
            <w:vAlign w:val="center"/>
          </w:tcPr>
          <w:p>
            <w:r/>
            <w:r>
              <w:rPr>
                <w:rFonts w:ascii="Arial" w:hAnsi="Arial"/>
                <w:b w:val="0"/>
                <w:sz w:val="13"/>
              </w:rPr>
              <w:t>25 Sep 2026</w:t>
            </w:r>
          </w:p>
        </w:tc>
      </w:tr>
      <w:tr>
        <w:tc>
          <w:tcPr>
            <w:tcW w:type="dxa" w:w="2520"/>
            <w:vAlign w:val="center"/>
            <w:shd w:fill="F3F6F8"/>
          </w:tcPr>
          <w:p>
            <w:r/>
            <w:r>
              <w:rPr>
                <w:rFonts w:ascii="Arial" w:hAnsi="Arial"/>
                <w:b/>
                <w:sz w:val="13"/>
              </w:rPr>
              <w:t>S16</w:t>
            </w:r>
          </w:p>
        </w:tc>
        <w:tc>
          <w:tcPr>
            <w:tcW w:type="dxa" w:w="2520"/>
            <w:vAlign w:val="center"/>
            <w:shd w:fill="F3F6F8"/>
          </w:tcPr>
          <w:p>
            <w:r/>
            <w:r>
              <w:rPr>
                <w:rFonts w:ascii="Arial" w:hAnsi="Arial"/>
                <w:b w:val="0"/>
                <w:sz w:val="13"/>
              </w:rPr>
              <w:t>DGFT minimum import price notification 56/2025-26</w:t>
            </w:r>
          </w:p>
        </w:tc>
        <w:tc>
          <w:tcPr>
            <w:tcW w:type="dxa" w:w="2520"/>
            <w:vAlign w:val="center"/>
            <w:shd w:fill="F3F6F8"/>
          </w:tcPr>
          <w:p>
            <w:r/>
            <w:r>
              <w:rPr>
                <w:rFonts w:ascii="Arial" w:hAnsi="Arial"/>
                <w:b w:val="0"/>
                <w:sz w:val="13"/>
              </w:rPr>
              <w:t>Pen-G ₹2,216/kg, 6-APA ₹3,405/kg and amoxicillin trihydrate ₹2,733/kg</w:t>
            </w:r>
          </w:p>
        </w:tc>
        <w:tc>
          <w:tcPr>
            <w:tcW w:type="dxa" w:w="2520"/>
            <w:vAlign w:val="center"/>
            <w:shd w:fill="F3F6F8"/>
          </w:tcPr>
          <w:p>
            <w:r/>
            <w:r>
              <w:rPr>
                <w:rFonts w:ascii="Arial" w:hAnsi="Arial"/>
                <w:b w:val="0"/>
                <w:sz w:val="13"/>
              </w:rPr>
              <w:t>29 Jan 2026</w:t>
            </w:r>
          </w:p>
        </w:tc>
      </w:tr>
      <w:tr>
        <w:tc>
          <w:tcPr>
            <w:tcW w:type="dxa" w:w="2520"/>
            <w:vAlign w:val="center"/>
          </w:tcPr>
          <w:p>
            <w:r/>
            <w:r>
              <w:rPr>
                <w:rFonts w:ascii="Arial" w:hAnsi="Arial"/>
                <w:b/>
                <w:sz w:val="13"/>
              </w:rPr>
              <w:t>S17</w:t>
            </w:r>
          </w:p>
        </w:tc>
        <w:tc>
          <w:tcPr>
            <w:tcW w:type="dxa" w:w="2520"/>
            <w:vAlign w:val="center"/>
          </w:tcPr>
          <w:p>
            <w:r/>
            <w:r>
              <w:rPr>
                <w:rFonts w:ascii="Arial" w:hAnsi="Arial"/>
                <w:b w:val="0"/>
                <w:sz w:val="13"/>
              </w:rPr>
              <w:t>Aurobindo Q3FY26 earnings call transcript</w:t>
            </w:r>
          </w:p>
        </w:tc>
        <w:tc>
          <w:tcPr>
            <w:tcW w:type="dxa" w:w="2520"/>
            <w:vAlign w:val="center"/>
          </w:tcPr>
          <w:p>
            <w:r/>
            <w:r>
              <w:rPr>
                <w:rFonts w:ascii="Arial" w:hAnsi="Arial"/>
                <w:b w:val="0"/>
                <w:sz w:val="13"/>
              </w:rPr>
              <w:t>Management stated PLI of ₹240cr per 10,000MT, proportionate to production</w:t>
            </w:r>
          </w:p>
        </w:tc>
        <w:tc>
          <w:tcPr>
            <w:tcW w:type="dxa" w:w="2520"/>
            <w:vAlign w:val="center"/>
          </w:tcPr>
          <w:p>
            <w:r/>
            <w:r>
              <w:rPr>
                <w:rFonts w:ascii="Arial" w:hAnsi="Arial"/>
                <w:b w:val="0"/>
                <w:sz w:val="13"/>
              </w:rPr>
              <w:t>10 Feb 2026</w:t>
            </w:r>
          </w:p>
        </w:tc>
      </w:tr>
      <w:tr>
        <w:tc>
          <w:tcPr>
            <w:tcW w:type="dxa" w:w="2520"/>
            <w:vAlign w:val="center"/>
            <w:shd w:fill="F3F6F8"/>
          </w:tcPr>
          <w:p>
            <w:r/>
            <w:r>
              <w:rPr>
                <w:rFonts w:ascii="Arial" w:hAnsi="Arial"/>
                <w:b/>
                <w:sz w:val="13"/>
              </w:rPr>
              <w:t>S18</w:t>
            </w:r>
          </w:p>
        </w:tc>
        <w:tc>
          <w:tcPr>
            <w:tcW w:type="dxa" w:w="2520"/>
            <w:vAlign w:val="center"/>
            <w:shd w:fill="F3F6F8"/>
          </w:tcPr>
          <w:p>
            <w:r/>
            <w:r>
              <w:rPr>
                <w:rFonts w:ascii="Arial" w:hAnsi="Arial"/>
                <w:b w:val="0"/>
                <w:sz w:val="13"/>
              </w:rPr>
              <w:t>FDA biosimilar product information</w:t>
            </w:r>
          </w:p>
        </w:tc>
        <w:tc>
          <w:tcPr>
            <w:tcW w:type="dxa" w:w="2520"/>
            <w:vAlign w:val="center"/>
            <w:shd w:fill="F3F6F8"/>
          </w:tcPr>
          <w:p>
            <w:r/>
            <w:r>
              <w:rPr>
                <w:rFonts w:ascii="Arial" w:hAnsi="Arial"/>
                <w:b w:val="0"/>
                <w:sz w:val="13"/>
              </w:rPr>
              <w:t>Competitive approval density, including multiple denosumab biosimilars</w:t>
            </w:r>
          </w:p>
        </w:tc>
        <w:tc>
          <w:tcPr>
            <w:tcW w:type="dxa" w:w="2520"/>
            <w:vAlign w:val="center"/>
            <w:shd w:fill="F3F6F8"/>
          </w:tcPr>
          <w:p>
            <w:r/>
            <w:r>
              <w:rPr>
                <w:rFonts w:ascii="Arial" w:hAnsi="Arial"/>
                <w:b w:val="0"/>
                <w:sz w:val="13"/>
              </w:rPr>
              <w:t>accessed 6 Oct 2026</w:t>
            </w:r>
          </w:p>
        </w:tc>
      </w:tr>
      <w:tr>
        <w:tc>
          <w:tcPr>
            <w:tcW w:type="dxa" w:w="2520"/>
            <w:vAlign w:val="center"/>
          </w:tcPr>
          <w:p>
            <w:r/>
            <w:r>
              <w:rPr>
                <w:rFonts w:ascii="Arial" w:hAnsi="Arial"/>
                <w:b/>
                <w:sz w:val="13"/>
              </w:rPr>
              <w:t>S19</w:t>
            </w:r>
          </w:p>
        </w:tc>
        <w:tc>
          <w:tcPr>
            <w:tcW w:type="dxa" w:w="2520"/>
            <w:vAlign w:val="center"/>
          </w:tcPr>
          <w:p>
            <w:r/>
            <w:r>
              <w:rPr>
                <w:rFonts w:ascii="Arial" w:hAnsi="Arial"/>
                <w:b w:val="0"/>
                <w:sz w:val="13"/>
              </w:rPr>
              <w:t>Acrotech dermatology product page</w:t>
            </w:r>
          </w:p>
        </w:tc>
        <w:tc>
          <w:tcPr>
            <w:tcW w:type="dxa" w:w="2520"/>
            <w:vAlign w:val="center"/>
          </w:tcPr>
          <w:p>
            <w:r/>
            <w:r>
              <w:rPr>
                <w:rFonts w:ascii="Arial" w:hAnsi="Arial"/>
                <w:b w:val="0"/>
                <w:sz w:val="13"/>
              </w:rPr>
              <w:t>ADQUEY is the only publicly listed dermatology product</w:t>
            </w:r>
          </w:p>
        </w:tc>
        <w:tc>
          <w:tcPr>
            <w:tcW w:type="dxa" w:w="2520"/>
            <w:vAlign w:val="center"/>
          </w:tcPr>
          <w:p>
            <w:r/>
            <w:r>
              <w:rPr>
                <w:rFonts w:ascii="Arial" w:hAnsi="Arial"/>
                <w:b w:val="0"/>
                <w:sz w:val="13"/>
              </w:rPr>
              <w:t>accessed 6 Oct 2026</w:t>
            </w:r>
          </w:p>
        </w:tc>
      </w:tr>
      <w:tr>
        <w:tc>
          <w:tcPr>
            <w:tcW w:type="dxa" w:w="2520"/>
            <w:vAlign w:val="center"/>
            <w:shd w:fill="F3F6F8"/>
          </w:tcPr>
          <w:p>
            <w:r/>
            <w:r>
              <w:rPr>
                <w:rFonts w:ascii="Arial" w:hAnsi="Arial"/>
                <w:b/>
                <w:sz w:val="13"/>
              </w:rPr>
              <w:t>S20</w:t>
            </w:r>
          </w:p>
        </w:tc>
        <w:tc>
          <w:tcPr>
            <w:tcW w:type="dxa" w:w="2520"/>
            <w:vAlign w:val="center"/>
            <w:shd w:fill="F3F6F8"/>
          </w:tcPr>
          <w:p>
            <w:r/>
            <w:r>
              <w:rPr>
                <w:rFonts w:ascii="Arial" w:hAnsi="Arial"/>
                <w:b w:val="0"/>
                <w:sz w:val="13"/>
              </w:rPr>
              <w:t>ADQUEY launch announcement</w:t>
            </w:r>
          </w:p>
        </w:tc>
        <w:tc>
          <w:tcPr>
            <w:tcW w:type="dxa" w:w="2520"/>
            <w:vAlign w:val="center"/>
            <w:shd w:fill="F3F6F8"/>
          </w:tcPr>
          <w:p>
            <w:r/>
            <w:r>
              <w:rPr>
                <w:rFonts w:ascii="Arial" w:hAnsi="Arial"/>
                <w:b w:val="0"/>
                <w:sz w:val="13"/>
              </w:rPr>
              <w:t>US launch, dedicated dermatology unit and $1.3bn atopic dermatitis market</w:t>
            </w:r>
          </w:p>
        </w:tc>
        <w:tc>
          <w:tcPr>
            <w:tcW w:type="dxa" w:w="2520"/>
            <w:vAlign w:val="center"/>
            <w:shd w:fill="F3F6F8"/>
          </w:tcPr>
          <w:p>
            <w:r/>
            <w:r>
              <w:rPr>
                <w:rFonts w:ascii="Arial" w:hAnsi="Arial"/>
                <w:b w:val="0"/>
                <w:sz w:val="13"/>
              </w:rPr>
              <w:t>30 Sep 2026</w:t>
            </w:r>
          </w:p>
        </w:tc>
      </w:tr>
      <w:tr>
        <w:tc>
          <w:tcPr>
            <w:tcW w:type="dxa" w:w="2520"/>
            <w:vAlign w:val="center"/>
          </w:tcPr>
          <w:p>
            <w:r/>
            <w:r>
              <w:rPr>
                <w:rFonts w:ascii="Arial" w:hAnsi="Arial"/>
                <w:b/>
                <w:sz w:val="13"/>
              </w:rPr>
              <w:t>S21</w:t>
            </w:r>
          </w:p>
        </w:tc>
        <w:tc>
          <w:tcPr>
            <w:tcW w:type="dxa" w:w="2520"/>
            <w:vAlign w:val="center"/>
          </w:tcPr>
          <w:p>
            <w:r/>
            <w:r>
              <w:rPr>
                <w:rFonts w:ascii="Arial" w:hAnsi="Arial"/>
                <w:b w:val="0"/>
                <w:sz w:val="13"/>
              </w:rPr>
              <w:t>Google Finance: AUROPHARMA</w:t>
            </w:r>
          </w:p>
        </w:tc>
        <w:tc>
          <w:tcPr>
            <w:tcW w:type="dxa" w:w="2520"/>
            <w:vAlign w:val="center"/>
          </w:tcPr>
          <w:p>
            <w:r/>
            <w:r>
              <w:rPr>
                <w:rFonts w:ascii="Arial" w:hAnsi="Arial"/>
                <w:b w:val="0"/>
                <w:sz w:val="13"/>
              </w:rPr>
              <w:t>6 October 2026 closing price ₹1,686</w:t>
            </w:r>
          </w:p>
        </w:tc>
        <w:tc>
          <w:tcPr>
            <w:tcW w:type="dxa" w:w="2520"/>
            <w:vAlign w:val="center"/>
          </w:tcPr>
          <w:p>
            <w:r/>
            <w:r>
              <w:rPr>
                <w:rFonts w:ascii="Arial" w:hAnsi="Arial"/>
                <w:b w:val="0"/>
                <w:sz w:val="13"/>
              </w:rPr>
              <w:t>6 Oct 2026</w:t>
            </w:r>
          </w:p>
        </w:tc>
      </w:tr>
      <w:tr>
        <w:tc>
          <w:tcPr>
            <w:tcW w:type="dxa" w:w="2520"/>
            <w:vAlign w:val="center"/>
            <w:shd w:fill="F3F6F8"/>
          </w:tcPr>
          <w:p>
            <w:r/>
            <w:r>
              <w:rPr>
                <w:rFonts w:ascii="Arial" w:hAnsi="Arial"/>
                <w:b/>
                <w:sz w:val="13"/>
              </w:rPr>
              <w:t>S22</w:t>
            </w:r>
          </w:p>
        </w:tc>
        <w:tc>
          <w:tcPr>
            <w:tcW w:type="dxa" w:w="2520"/>
            <w:vAlign w:val="center"/>
            <w:shd w:fill="F3F6F8"/>
          </w:tcPr>
          <w:p>
            <w:r/>
            <w:r>
              <w:rPr>
                <w:rFonts w:ascii="Arial" w:hAnsi="Arial"/>
                <w:b w:val="0"/>
                <w:sz w:val="13"/>
              </w:rPr>
              <w:t>Google Finance peer pages</w:t>
            </w:r>
          </w:p>
        </w:tc>
        <w:tc>
          <w:tcPr>
            <w:tcW w:type="dxa" w:w="2520"/>
            <w:vAlign w:val="center"/>
            <w:shd w:fill="F3F6F8"/>
          </w:tcPr>
          <w:p>
            <w:r/>
            <w:r>
              <w:rPr>
                <w:rFonts w:ascii="Arial" w:hAnsi="Arial"/>
                <w:b w:val="0"/>
                <w:sz w:val="13"/>
              </w:rPr>
              <w:t>6 October 2026 market prices and TTM P/E for Indian pharma peer context</w:t>
            </w:r>
          </w:p>
        </w:tc>
        <w:tc>
          <w:tcPr>
            <w:tcW w:type="dxa" w:w="2520"/>
            <w:vAlign w:val="center"/>
            <w:shd w:fill="F3F6F8"/>
          </w:tcPr>
          <w:p>
            <w:r/>
            <w:r>
              <w:rPr>
                <w:rFonts w:ascii="Arial" w:hAnsi="Arial"/>
                <w:b w:val="0"/>
                <w:sz w:val="13"/>
              </w:rPr>
              <w:t>6 Oct 2026</w:t>
            </w:r>
          </w:p>
        </w:tc>
      </w:tr>
    </w:tbl>
    <w:p>
      <w:pPr>
        <w:pStyle w:val="Heading2"/>
      </w:pPr>
      <w:r>
        <w:t>Key source URLs</w:t>
      </w:r>
    </w:p>
    <w:p>
      <w:pPr>
        <w:spacing w:after="40"/>
      </w:pPr>
      <w:r>
        <w:rPr>
          <w:b/>
          <w:sz w:val="15"/>
        </w:rPr>
        <w:t xml:space="preserve">S1  Uploaded sector initiation note: </w:t>
      </w:r>
      <w:r>
        <w:rPr>
          <w:color w:val="0F6B78"/>
          <w:sz w:val="15"/>
        </w:rPr>
        <w:t>Local upload: India Healthcare_ Innovation Power Decade...pdf</w:t>
      </w:r>
    </w:p>
    <w:p>
      <w:pPr>
        <w:spacing w:after="40"/>
      </w:pPr>
      <w:r>
        <w:rPr>
          <w:b/>
          <w:sz w:val="15"/>
        </w:rPr>
        <w:t xml:space="preserve">S2  Aurobindo Q4/FY26 press release: </w:t>
      </w:r>
      <w:r>
        <w:rPr>
          <w:color w:val="0F6B78"/>
          <w:sz w:val="15"/>
        </w:rPr>
        <w:t>https://www.aurobindo.com/api/uploads/resultsannouncement/APL_PressRelease_Q4FY26.pdf</w:t>
      </w:r>
    </w:p>
    <w:p>
      <w:pPr>
        <w:spacing w:after="40"/>
      </w:pPr>
      <w:r>
        <w:rPr>
          <w:b/>
          <w:sz w:val="15"/>
        </w:rPr>
        <w:t xml:space="preserve">S3  Aurobindo Q1FY27 earnings presentation: </w:t>
      </w:r>
      <w:r>
        <w:rPr>
          <w:color w:val="0F6B78"/>
          <w:sz w:val="15"/>
        </w:rPr>
        <w:t>https://www.aurobindo.com/api/uploads/resultsannouncement/APL_EarningsPresentation_Q1FY27.pdf</w:t>
      </w:r>
    </w:p>
    <w:p>
      <w:pPr>
        <w:spacing w:after="40"/>
      </w:pPr>
      <w:r>
        <w:rPr>
          <w:b/>
          <w:sz w:val="15"/>
        </w:rPr>
        <w:t xml:space="preserve">S4  Aurobindo Q1FY27 earnings call transcript: </w:t>
      </w:r>
      <w:r>
        <w:rPr>
          <w:color w:val="0F6B78"/>
          <w:sz w:val="15"/>
        </w:rPr>
        <w:t>https://www.aurobindo.com/api/uploads/conferencecalltranscripts/APL_ECT_Q1FY27_Final.pdf</w:t>
      </w:r>
    </w:p>
    <w:p>
      <w:pPr>
        <w:spacing w:after="40"/>
      </w:pPr>
      <w:r>
        <w:rPr>
          <w:b/>
          <w:sz w:val="15"/>
        </w:rPr>
        <w:t xml:space="preserve">S5  Lannett transaction summary: </w:t>
      </w:r>
      <w:r>
        <w:rPr>
          <w:color w:val="0F6B78"/>
          <w:sz w:val="15"/>
        </w:rPr>
        <w:t>https://www.aurobindo.com/api/uploads/disclosureofeventsinformation/LtrToSEsLannett30072025.pdf</w:t>
      </w:r>
    </w:p>
    <w:p>
      <w:pPr>
        <w:spacing w:after="40"/>
      </w:pPr>
      <w:r>
        <w:rPr>
          <w:b/>
          <w:sz w:val="15"/>
        </w:rPr>
        <w:t xml:space="preserve">S6  Lannett FTC approval press release: </w:t>
      </w:r>
      <w:r>
        <w:rPr>
          <w:color w:val="0F6B78"/>
          <w:sz w:val="15"/>
        </w:rPr>
        <w:t>https://www.aurobindo.com/api/uploads/corporateannouncements/LtrToSEsLnnettPR22062026.pdf</w:t>
      </w:r>
    </w:p>
    <w:p>
      <w:pPr>
        <w:spacing w:after="40"/>
      </w:pPr>
      <w:r>
        <w:rPr>
          <w:b/>
          <w:sz w:val="15"/>
        </w:rPr>
        <w:t xml:space="preserve">S7  FTC Aurobindo-Lannett case: </w:t>
      </w:r>
      <w:r>
        <w:rPr>
          <w:color w:val="0F6B78"/>
          <w:sz w:val="15"/>
        </w:rPr>
        <w:t>https://www.ftc.gov/legal-library/browse/cases-proceedings/251-0096-aurobindo-lannett-matter</w:t>
      </w:r>
    </w:p>
    <w:p>
      <w:pPr>
        <w:spacing w:after="40"/>
      </w:pPr>
      <w:r>
        <w:rPr>
          <w:b/>
          <w:sz w:val="15"/>
        </w:rPr>
        <w:t xml:space="preserve">S8  Lannett Seymour FDA inspection disclosure: </w:t>
      </w:r>
      <w:r>
        <w:rPr>
          <w:color w:val="0F6B78"/>
          <w:sz w:val="15"/>
        </w:rPr>
        <w:t>https://www.aurobindo.com/api/uploads/disclosureofeventsinformation/LtrToSEsLannettUSFDA24082026.pdf</w:t>
      </w:r>
    </w:p>
    <w:p>
      <w:pPr>
        <w:spacing w:after="40"/>
      </w:pPr>
      <w:r>
        <w:rPr>
          <w:b/>
          <w:sz w:val="15"/>
        </w:rPr>
        <w:t xml:space="preserve">S9  Raleigh VAI/EIR disclosure: </w:t>
      </w:r>
      <w:r>
        <w:rPr>
          <w:color w:val="0F6B78"/>
          <w:sz w:val="15"/>
        </w:rPr>
        <w:t>https://www.aurobindo.com/api/uploads/disclosureofeventsinformation/LtrToSEsAurolifeNCVAI17082026.pdf</w:t>
      </w:r>
    </w:p>
    <w:p>
      <w:pPr>
        <w:spacing w:after="40"/>
      </w:pPr>
      <w:r>
        <w:rPr>
          <w:b/>
          <w:sz w:val="15"/>
        </w:rPr>
        <w:t xml:space="preserve">S10  Eugia Unit I warning letter disclosure: </w:t>
      </w:r>
      <w:r>
        <w:rPr>
          <w:color w:val="0F6B78"/>
          <w:sz w:val="15"/>
        </w:rPr>
        <w:t>https://www.aurobindo.com/api/uploads/disclosureofeventsinformation/LtrToSEsEugiaUnitIWarningLetter14082026.pdf</w:t>
      </w:r>
    </w:p>
    <w:p>
      <w:pPr>
        <w:spacing w:after="40"/>
      </w:pPr>
      <w:r>
        <w:rPr>
          <w:b/>
          <w:sz w:val="15"/>
        </w:rPr>
        <w:t xml:space="preserve">S11  Eugia Unit III OAI disclosure: </w:t>
      </w:r>
      <w:r>
        <w:rPr>
          <w:color w:val="0F6B78"/>
          <w:sz w:val="15"/>
        </w:rPr>
        <w:t>https://www.aurobindo.com/api/uploads/disclosureofeventsinformation/LtrToSEsEuigaUnit3USFDAinspection12062026.pdf</w:t>
      </w:r>
    </w:p>
    <w:p>
      <w:pPr>
        <w:spacing w:after="40"/>
      </w:pPr>
      <w:r>
        <w:rPr>
          <w:b/>
          <w:sz w:val="15"/>
        </w:rPr>
        <w:t xml:space="preserve">S12  Eugia Unit II OAI disclosure: </w:t>
      </w:r>
      <w:r>
        <w:rPr>
          <w:color w:val="0F6B78"/>
          <w:sz w:val="15"/>
        </w:rPr>
        <w:t>https://www.aurobindo.com/api/uploads/disclosureofeventsinformation/LtrToSEsEugiaUSFDA17032026.pdf</w:t>
      </w:r>
    </w:p>
    <w:p>
      <w:pPr>
        <w:spacing w:after="40"/>
      </w:pPr>
      <w:r>
        <w:rPr>
          <w:b/>
          <w:sz w:val="15"/>
        </w:rPr>
        <w:t xml:space="preserve">S13  QVAR generic approval press release: </w:t>
      </w:r>
      <w:r>
        <w:rPr>
          <w:color w:val="0F6B78"/>
          <w:sz w:val="15"/>
        </w:rPr>
        <w:t>https://www.aurobindo.com/api/uploads/corporateannouncements/LtrToSEsPressReleaseUSFDAapproval15092026.pdf</w:t>
      </w:r>
    </w:p>
    <w:p>
      <w:pPr>
        <w:spacing w:after="40"/>
      </w:pPr>
      <w:r>
        <w:rPr>
          <w:b/>
          <w:sz w:val="15"/>
        </w:rPr>
        <w:t xml:space="preserve">S14  Aurobindo press release index: Advair launch: </w:t>
      </w:r>
      <w:r>
        <w:rPr>
          <w:color w:val="0F6B78"/>
          <w:sz w:val="15"/>
        </w:rPr>
        <w:t>https://www.aurobindo.com/media/press-releases</w:t>
      </w:r>
    </w:p>
    <w:p>
      <w:pPr>
        <w:spacing w:after="40"/>
      </w:pPr>
      <w:r>
        <w:rPr>
          <w:b/>
          <w:sz w:val="15"/>
        </w:rPr>
        <w:t xml:space="preserve">S15  Government of India PIB: bulk-drug PLI: </w:t>
      </w:r>
      <w:r>
        <w:rPr>
          <w:color w:val="0F6B78"/>
          <w:sz w:val="15"/>
        </w:rPr>
        <w:t>https://www.pib.gov.in/PressReleseDetailm.aspx?PRID=2314891&amp;lang=1&amp;reg=3</w:t>
      </w:r>
    </w:p>
    <w:p>
      <w:pPr>
        <w:spacing w:after="40"/>
      </w:pPr>
      <w:r>
        <w:rPr>
          <w:b/>
          <w:sz w:val="15"/>
        </w:rPr>
        <w:t xml:space="preserve">S16  DGFT minimum import price notification 56/2025-26: </w:t>
      </w:r>
      <w:r>
        <w:rPr>
          <w:color w:val="0F6B78"/>
          <w:sz w:val="15"/>
        </w:rPr>
        <w:t>https://content.dgft.gov.in/Website/dgftprod/85a8d911-e529-43c0-a691-7056dd6fff45/Notification%20English.pdf</w:t>
      </w:r>
    </w:p>
    <w:p>
      <w:pPr>
        <w:spacing w:after="40"/>
      </w:pPr>
      <w:r>
        <w:rPr>
          <w:b/>
          <w:sz w:val="15"/>
        </w:rPr>
        <w:t xml:space="preserve">S17  Aurobindo Q3FY26 earnings call transcript: </w:t>
      </w:r>
      <w:r>
        <w:rPr>
          <w:color w:val="0F6B78"/>
          <w:sz w:val="15"/>
        </w:rPr>
        <w:t>https://www.aurobindo.com/api/uploads/conferencecalltranscripts/Transcript_Q3FY26_Final.pdf</w:t>
      </w:r>
    </w:p>
    <w:p>
      <w:pPr>
        <w:spacing w:after="40"/>
      </w:pPr>
      <w:r>
        <w:rPr>
          <w:b/>
          <w:sz w:val="15"/>
        </w:rPr>
        <w:t xml:space="preserve">S18  FDA biosimilar product information: </w:t>
      </w:r>
      <w:r>
        <w:rPr>
          <w:color w:val="0F6B78"/>
          <w:sz w:val="15"/>
        </w:rPr>
        <w:t>https://www.fda.gov/drugs/biosimilars/biosimilar-product-information</w:t>
      </w:r>
    </w:p>
    <w:p>
      <w:pPr>
        <w:spacing w:after="40"/>
      </w:pPr>
      <w:r>
        <w:rPr>
          <w:b/>
          <w:sz w:val="15"/>
        </w:rPr>
        <w:t xml:space="preserve">S19  Acrotech dermatology product page: </w:t>
      </w:r>
      <w:r>
        <w:rPr>
          <w:color w:val="0F6B78"/>
          <w:sz w:val="15"/>
        </w:rPr>
        <w:t>https://acrotechbiopharma.com/our-dermatology-products/</w:t>
      </w:r>
    </w:p>
    <w:p>
      <w:pPr>
        <w:spacing w:after="40"/>
      </w:pPr>
      <w:r>
        <w:rPr>
          <w:b/>
          <w:sz w:val="15"/>
        </w:rPr>
        <w:t xml:space="preserve">S20  ADQUEY launch announcement: </w:t>
      </w:r>
      <w:r>
        <w:rPr>
          <w:color w:val="0F6B78"/>
          <w:sz w:val="15"/>
        </w:rPr>
        <w:t>https://acrotechbiopharma.com/</w:t>
      </w:r>
    </w:p>
    <w:p>
      <w:pPr>
        <w:spacing w:after="40"/>
      </w:pPr>
      <w:r>
        <w:rPr>
          <w:b/>
          <w:sz w:val="15"/>
        </w:rPr>
        <w:t xml:space="preserve">S21  Google Finance: AUROPHARMA: </w:t>
      </w:r>
      <w:r>
        <w:rPr>
          <w:color w:val="0F6B78"/>
          <w:sz w:val="15"/>
        </w:rPr>
        <w:t>https://www.google.com/finance/quote/AUROPHARMA:NSE</w:t>
      </w:r>
    </w:p>
    <w:p>
      <w:pPr>
        <w:spacing w:after="40"/>
      </w:pPr>
      <w:r>
        <w:rPr>
          <w:b/>
          <w:sz w:val="15"/>
        </w:rPr>
        <w:t xml:space="preserve">S22  Google Finance peer pages: </w:t>
      </w:r>
      <w:r>
        <w:rPr>
          <w:color w:val="0F6B78"/>
          <w:sz w:val="15"/>
        </w:rPr>
        <w:t>https://www.google.com/finance/quote/AUROPHARMA:NSE</w:t>
      </w:r>
    </w:p>
    <w:p/>
    <w:p>
      <w:r>
        <w:rPr>
          <w:b/>
          <w:color w:val="17365D"/>
        </w:rPr>
        <w:t>Disclosure note</w:t>
      </w:r>
    </w:p>
    <w:p>
      <w:pPr>
        <w:spacing w:after="100" w:line="252" w:lineRule="auto"/>
      </w:pPr>
      <w:r>
        <w:t>This document is an internal analytical working draft prepared from public sources, an uploaded initiation note and management workplan headings. It is not a company document. Forecasts and valuation are estimates and should be reviewed against house compliance, distribution and certification requirements before external use.</w:t>
      </w:r>
    </w:p>
    <w:sectPr w:rsidR="00FC693F" w:rsidRPr="0006063C" w:rsidSect="00034616">
      <w:headerReference w:type="default" r:id="rId9"/>
      <w:footerReference w:type="default" r:id="rId10"/>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 xml:space="preserve">Internal research working draft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AUROBINDO PHARMA | OUTPERFORM | 6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95959"/>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