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3E13" w:rsidRDefault="00BC3E13" w:rsidP="00BC3E13">
      <w:pPr>
        <w:pStyle w:val="NormalWeb"/>
      </w:pPr>
      <w:r>
        <w:t>The valuation framework should focus on what Organon becomes inside Sun, rather than where Organon traded as a standalone company. Organon was a low-growth, levered asset trading at c.6x EV/EBITDA, while Sun has traded closer to c.20-24x, supported by stronger specialty execution, balance-sheet quality and c.13% revenue CAGR over the last five years despite its already large base. The combined company should not retain Sun’s full standalone multiple immediately, but Organon also should not be valued as a static 6x asset once integrated into Sun’s commercial and operating platform. Under Sun, the portfolio benefits from better execution, faster deleveraging, broader emerging-market reach and clearer revenue-synergy potential.</w:t>
      </w:r>
    </w:p>
    <w:p w:rsidR="00BC3E13" w:rsidRDefault="00BC3E13" w:rsidP="00BC3E13">
      <w:pPr>
        <w:pStyle w:val="NormalWeb"/>
      </w:pPr>
      <w:r>
        <w:t xml:space="preserve">Our model implies consolidated EBITDA of </w:t>
      </w:r>
      <w:proofErr w:type="gramStart"/>
      <w:r>
        <w:t>c.INR</w:t>
      </w:r>
      <w:proofErr w:type="gramEnd"/>
      <w:r>
        <w:t>398 billion in FY27E, c.INR472 billion in FY28E and c.INR558 billion in FY29E, with revenue synergies lifting total revenue from c.INR1,262 billion in FY27E to c.INR1,466 billion in FY28E and c.INR1,640 billion in FY29E. We therefore assume multiple compression versus Sun’s historic range, but not a collapse toward Organon’s standalone level. A c.14-16x EV/EBITDA framework looks appropriate for the pro forma company, reflecting Sun’s execution premium, Organon’s cash generation, synergy optionality and balance-sheet repair. At that range, the Organon acquisition still screens value-accretive for Sun shareholders.</w:t>
      </w:r>
    </w:p>
    <w:p w:rsidR="00C07702" w:rsidRDefault="00C07702">
      <w:pPr>
        <w:pStyle w:val="BodyText"/>
      </w:pPr>
    </w:p>
    <w:sectPr w:rsidR="00C0770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3580C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0005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07702"/>
    <w:rsid w:val="00771CC1"/>
    <w:rsid w:val="008965E7"/>
    <w:rsid w:val="00BC3E13"/>
    <w:rsid w:val="00C0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891E3"/>
  <w15:docId w15:val="{57CE03CF-6A37-954E-82EA-9FD20800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71CC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14269">
      <w:bodyDiv w:val="1"/>
      <w:marLeft w:val="0"/>
      <w:marRight w:val="0"/>
      <w:marTop w:val="0"/>
      <w:marBottom w:val="0"/>
      <w:divBdr>
        <w:top w:val="none" w:sz="0" w:space="0" w:color="auto"/>
        <w:left w:val="none" w:sz="0" w:space="0" w:color="auto"/>
        <w:bottom w:val="none" w:sz="0" w:space="0" w:color="auto"/>
        <w:right w:val="none" w:sz="0" w:space="0" w:color="auto"/>
      </w:divBdr>
    </w:div>
    <w:div w:id="570232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4</cp:revision>
  <dcterms:created xsi:type="dcterms:W3CDTF">2026-06-16T04:07:00Z</dcterms:created>
  <dcterms:modified xsi:type="dcterms:W3CDTF">2026-06-16T12:07:00Z</dcterms:modified>
</cp:coreProperties>
</file>