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03a44b076a21e1a66ec0b696b321d099c3d30e"/>
    <w:p>
      <w:pPr>
        <w:pStyle w:val="Heading1"/>
      </w:pPr>
      <w:r>
        <w:t xml:space="preserve">Neuland Laboratories: Bempedoic acid is a confirmed earnings driver; enlicitide validates the peptide strategy, but remains optionality</w:t>
      </w:r>
    </w:p>
    <w:bookmarkStart w:id="9" w:name="executive-conclusion"/>
    <w:p>
      <w:pPr>
        <w:pStyle w:val="Heading2"/>
      </w:pPr>
      <w:r>
        <w:t xml:space="preserve">Executive conclusion</w:t>
      </w:r>
    </w:p>
    <w:p>
      <w:pPr>
        <w:pStyle w:val="FirstParagraph"/>
      </w:pPr>
      <w:r>
        <w:t xml:space="preserve">Our molecule-level work supports a differentiated conclusion across the three cholesterol-lowering pathways.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Key question</w:t>
            </w:r>
          </w:p>
        </w:tc>
        <w:tc>
          <w:tcPr/>
          <w:p>
            <w:pPr>
              <w:pStyle w:val="Compact"/>
            </w:pPr>
            <w:r>
              <w:t xml:space="preserve">Answer</w:t>
            </w:r>
          </w:p>
        </w:tc>
        <w:tc>
          <w:tcPr/>
          <w:p>
            <w:pPr>
              <w:pStyle w:val="Compact"/>
            </w:pPr>
            <w:r>
              <w:t xml:space="preserve">Evidence level</w:t>
            </w:r>
          </w:p>
        </w:tc>
        <w:tc>
          <w:tcPr/>
          <w:p>
            <w:pPr>
              <w:pStyle w:val="Compact"/>
            </w:pPr>
            <w:r>
              <w:t xml:space="preserve">Investment relevance</w:t>
            </w:r>
          </w:p>
        </w:tc>
      </w:tr>
      <w:tr>
        <w:tc>
          <w:tcPr/>
          <w:p>
            <w:pPr>
              <w:pStyle w:val="Compact"/>
            </w:pPr>
            <w:r>
              <w:t xml:space="preserve">Does Neuland manufacture bempedoic acid for Nexletol/Nexlizet?</w:t>
            </w:r>
          </w:p>
        </w:tc>
        <w:tc>
          <w:tcPr/>
          <w:p>
            <w:pPr>
              <w:pStyle w:val="Compact"/>
            </w:pPr>
            <w:r>
              <w:t xml:space="preserve">Yes. Neuland manufactures the final commercial bempedoic-acid API following technology transfer from Esperion.</w:t>
            </w:r>
          </w:p>
        </w:tc>
        <w:tc>
          <w:tcPr/>
          <w:p>
            <w:pPr>
              <w:pStyle w:val="Compact"/>
            </w:pPr>
            <w:r>
              <w:rPr>
                <w:b/>
                <w:bCs/>
              </w:rPr>
              <w:t xml:space="preserve">Confirmed</w:t>
            </w:r>
          </w:p>
        </w:tc>
        <w:tc>
          <w:tcPr/>
          <w:p>
            <w:pPr>
              <w:pStyle w:val="Compact"/>
            </w:pPr>
            <w:r>
              <w:t xml:space="preserve">Existing earnings driver</w:t>
            </w:r>
          </w:p>
        </w:tc>
      </w:tr>
      <w:tr>
        <w:tc>
          <w:tcPr/>
          <w:p>
            <w:pPr>
              <w:pStyle w:val="Compact"/>
            </w:pPr>
            <w:r>
              <w:t xml:space="preserve">Does Blue Jet supply bempedoic intermediates to Neuland?</w:t>
            </w:r>
          </w:p>
        </w:tc>
        <w:tc>
          <w:tcPr/>
          <w:p>
            <w:pPr>
              <w:pStyle w:val="Compact"/>
            </w:pPr>
            <w:r>
              <w:t xml:space="preserve">Blue Jet is confirmed in the upstream bempedoic supply chain, but direct supply to Neuland is not publicly established.</w:t>
            </w:r>
          </w:p>
        </w:tc>
        <w:tc>
          <w:tcPr/>
          <w:p>
            <w:pPr>
              <w:pStyle w:val="Compact"/>
            </w:pPr>
            <w:r>
              <w:rPr>
                <w:b/>
                <w:bCs/>
              </w:rPr>
              <w:t xml:space="preserve">Strongly inferred at supply-chain level; direct Neuland link unverified</w:t>
            </w:r>
          </w:p>
        </w:tc>
        <w:tc>
          <w:tcPr/>
          <w:p>
            <w:pPr>
              <w:pStyle w:val="Compact"/>
            </w:pPr>
            <w:r>
              <w:t xml:space="preserve">Relevant for understanding inventory and sourcing, not Neuland revenue attribution</w:t>
            </w:r>
          </w:p>
        </w:tc>
      </w:tr>
      <w:tr>
        <w:tc>
          <w:tcPr/>
          <w:p>
            <w:pPr>
              <w:pStyle w:val="Compact"/>
            </w:pPr>
            <w:r>
              <w:t xml:space="preserve">Is Neuland involved in Merck’s enlicitide/Lipfendra?</w:t>
            </w:r>
          </w:p>
        </w:tc>
        <w:tc>
          <w:tcPr/>
          <w:p>
            <w:pPr>
              <w:pStyle w:val="Compact"/>
            </w:pPr>
            <w:r>
              <w:t xml:space="preserve">No identifiable evidence of a molecule-level relationship.</w:t>
            </w:r>
          </w:p>
        </w:tc>
        <w:tc>
          <w:tcPr/>
          <w:p>
            <w:pPr>
              <w:pStyle w:val="Compact"/>
            </w:pPr>
            <w:r>
              <w:rPr>
                <w:b/>
                <w:bCs/>
              </w:rPr>
              <w:t xml:space="preserve">No customer evidence</w:t>
            </w:r>
          </w:p>
        </w:tc>
        <w:tc>
          <w:tcPr/>
          <w:p>
            <w:pPr>
              <w:pStyle w:val="Compact"/>
            </w:pPr>
            <w:r>
              <w:t xml:space="preserve">Capability read-through only</w:t>
            </w:r>
          </w:p>
        </w:tc>
      </w:tr>
      <w:tr>
        <w:tc>
          <w:tcPr/>
          <w:p>
            <w:pPr>
              <w:pStyle w:val="Compact"/>
            </w:pPr>
            <w:r>
              <w:t xml:space="preserve">Can Neuland manufacture similar macrocyclic peptides?</w:t>
            </w:r>
          </w:p>
        </w:tc>
        <w:tc>
          <w:tcPr/>
          <w:p>
            <w:pPr>
              <w:pStyle w:val="Compact"/>
            </w:pPr>
            <w:r>
              <w:t xml:space="preserve">It has several relevant capabilities, but has not yet demonstrated a full enlicitide-equivalent commercial platform.</w:t>
            </w:r>
          </w:p>
        </w:tc>
        <w:tc>
          <w:tcPr/>
          <w:p>
            <w:pPr>
              <w:pStyle w:val="Compact"/>
            </w:pPr>
            <w:r>
              <w:rPr>
                <w:b/>
                <w:bCs/>
              </w:rPr>
              <w:t xml:space="preserve">Development capability demonstrated</w:t>
            </w:r>
          </w:p>
        </w:tc>
        <w:tc>
          <w:tcPr/>
          <w:p>
            <w:pPr>
              <w:pStyle w:val="Compact"/>
            </w:pPr>
            <w:r>
              <w:t xml:space="preserve">Medium- to long-term optionality</w:t>
            </w:r>
          </w:p>
        </w:tc>
      </w:tr>
      <w:tr>
        <w:tc>
          <w:tcPr/>
          <w:p>
            <w:pPr>
              <w:pStyle w:val="Compact"/>
            </w:pPr>
            <w:r>
              <w:t xml:space="preserve">Is inclisiran relevant to Neuland’s manufacturing platform?</w:t>
            </w:r>
          </w:p>
        </w:tc>
        <w:tc>
          <w:tcPr/>
          <w:p>
            <w:pPr>
              <w:pStyle w:val="Compact"/>
            </w:pPr>
            <w:r>
              <w:t xml:space="preserve">No. Inclisiran is a GalNAc-conjugated siRNA, not a peptide, and requires capabilities Neuland has not disclosed.</w:t>
            </w:r>
          </w:p>
        </w:tc>
        <w:tc>
          <w:tcPr/>
          <w:p>
            <w:pPr>
              <w:pStyle w:val="Compact"/>
            </w:pPr>
            <w:r>
              <w:rPr>
                <w:b/>
                <w:bCs/>
              </w:rPr>
              <w:t xml:space="preserve">Confirmed capability gap</w:t>
            </w:r>
          </w:p>
        </w:tc>
        <w:tc>
          <w:tcPr/>
          <w:p>
            <w:pPr>
              <w:pStyle w:val="Compact"/>
            </w:pPr>
            <w:r>
              <w:t xml:space="preserve">Therapeutic comparator only</w:t>
            </w:r>
          </w:p>
        </w:tc>
      </w:tr>
    </w:tbl>
    <w:p>
      <w:pPr>
        <w:pStyle w:val="BodyText"/>
      </w:pPr>
      <w:r>
        <w:t xml:space="preserve">The core investment conclusion is therefore straightforward:</w:t>
      </w:r>
    </w:p>
    <w:p>
      <w:pPr>
        <w:pStyle w:val="Compact"/>
        <w:numPr>
          <w:ilvl w:val="0"/>
          <w:numId w:val="1001"/>
        </w:numPr>
      </w:pPr>
      <w:r>
        <w:rPr>
          <w:b/>
          <w:bCs/>
        </w:rPr>
        <w:t xml:space="preserve">Bempedoic acid is already contributing to Neuland’s commercial CMS business.</w:t>
      </w:r>
    </w:p>
    <w:p>
      <w:pPr>
        <w:pStyle w:val="Compact"/>
        <w:numPr>
          <w:ilvl w:val="0"/>
          <w:numId w:val="1001"/>
        </w:numPr>
      </w:pPr>
      <w:r>
        <w:rPr>
          <w:b/>
          <w:bCs/>
        </w:rPr>
        <w:t xml:space="preserve">Enlicitide validates the strategic importance of advanced peptide chemistry, but should not be included in Neuland forecasts.</w:t>
      </w:r>
    </w:p>
    <w:p>
      <w:pPr>
        <w:pStyle w:val="Compact"/>
        <w:numPr>
          <w:ilvl w:val="0"/>
          <w:numId w:val="1001"/>
        </w:numPr>
      </w:pPr>
      <w:r>
        <w:rPr>
          <w:b/>
          <w:bCs/>
        </w:rPr>
        <w:t xml:space="preserve">Inclisiran is outside Neuland’s current manufacturing platform.</w:t>
      </w:r>
    </w:p>
    <w:p>
      <w:pPr>
        <w:pStyle w:val="Compact"/>
        <w:numPr>
          <w:ilvl w:val="0"/>
          <w:numId w:val="1001"/>
        </w:numPr>
      </w:pPr>
      <w:r>
        <w:rPr>
          <w:b/>
          <w:bCs/>
        </w:rPr>
        <w:t xml:space="preserve">Neuland’s peptide opportunity is credible, but commercial materiality likely depends on project conversion and utilisation from FY29 onward.</w:t>
      </w:r>
    </w:p>
    <w:p>
      <w:r>
        <w:pict>
          <v:rect style="width:0;height:1.5pt" o:hralign="center" o:hrstd="t" o:hr="t"/>
        </w:pict>
      </w:r>
    </w:p>
    <w:bookmarkEnd w:id="9"/>
    <w:bookmarkStart w:id="15" w:name="X89b765c13ada02449135d3801a440e7a174f85e"/>
    <w:p>
      <w:pPr>
        <w:pStyle w:val="Heading2"/>
      </w:pPr>
      <w:r>
        <w:t xml:space="preserve">1. Bempedoic acid: What exactly does Neuland manufacture?</w:t>
      </w:r>
    </w:p>
    <w:bookmarkStart w:id="11" w:name="direct-answer"/>
    <w:p>
      <w:pPr>
        <w:pStyle w:val="Heading3"/>
      </w:pPr>
      <w:r>
        <w:t xml:space="preserve">Direct answer</w:t>
      </w:r>
    </w:p>
    <w:p>
      <w:pPr>
        <w:pStyle w:val="FirstParagraph"/>
      </w:pPr>
      <w:r>
        <w:t xml:space="preserve">Neuland manufactures the</w:t>
      </w:r>
      <w:r>
        <w:t xml:space="preserve"> </w:t>
      </w:r>
      <w:r>
        <w:rPr>
          <w:b/>
          <w:bCs/>
        </w:rPr>
        <w:t xml:space="preserve">final commercial bempedoic-acid API</w:t>
      </w:r>
      <w:r>
        <w:t xml:space="preserve"> </w:t>
      </w:r>
      <w:r>
        <w:t xml:space="preserve">used in Esperion’s Nexletol and Nexlizet franchise.</w:t>
      </w:r>
    </w:p>
    <w:p>
      <w:pPr>
        <w:pStyle w:val="BodyText"/>
      </w:pPr>
      <w:r>
        <w:t xml:space="preserve">Neuland disclosed that it entered a technology-transfer and supply agreement with Esperion in 2019. The work included pilot batches, process scale-up, validation, regulatory filing support and commercial manufacture. Neuland’s Unit II at Pashamylaram continues to appear in the approved bempedoic-acid manufacturing chain. (</w:t>
      </w:r>
      <w:hyperlink r:id="rId10">
        <w:r>
          <w:rPr>
            <w:rStyle w:val="Hyperlink"/>
          </w:rPr>
          <w:t xml:space="preserve">neulandlabs.com</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Assessment</w:t>
            </w:r>
          </w:p>
        </w:tc>
      </w:tr>
      <w:tr>
        <w:tc>
          <w:tcPr/>
          <w:p>
            <w:pPr>
              <w:pStyle w:val="Compact"/>
            </w:pPr>
            <w:r>
              <w:t xml:space="preserve">Innovator</w:t>
            </w:r>
          </w:p>
        </w:tc>
        <w:tc>
          <w:tcPr/>
          <w:p>
            <w:pPr>
              <w:pStyle w:val="Compact"/>
            </w:pPr>
            <w:r>
              <w:t xml:space="preserve">Esperion Therapeutics</w:t>
            </w:r>
          </w:p>
        </w:tc>
      </w:tr>
      <w:tr>
        <w:tc>
          <w:tcPr/>
          <w:p>
            <w:pPr>
              <w:pStyle w:val="Compact"/>
            </w:pPr>
            <w:r>
              <w:t xml:space="preserve">Brand</w:t>
            </w:r>
          </w:p>
        </w:tc>
        <w:tc>
          <w:tcPr/>
          <w:p>
            <w:pPr>
              <w:pStyle w:val="Compact"/>
            </w:pPr>
            <w:r>
              <w:t xml:space="preserve">Nexletol; Nexlizet in combination with ezetimibe</w:t>
            </w:r>
          </w:p>
        </w:tc>
      </w:tr>
      <w:tr>
        <w:tc>
          <w:tcPr/>
          <w:p>
            <w:pPr>
              <w:pStyle w:val="Compact"/>
            </w:pPr>
            <w:r>
              <w:t xml:space="preserve">Molecule</w:t>
            </w:r>
          </w:p>
        </w:tc>
        <w:tc>
          <w:tcPr/>
          <w:p>
            <w:pPr>
              <w:pStyle w:val="Compact"/>
            </w:pPr>
            <w:r>
              <w:t xml:space="preserve">Bempedoic acid</w:t>
            </w:r>
          </w:p>
        </w:tc>
      </w:tr>
      <w:tr>
        <w:tc>
          <w:tcPr/>
          <w:p>
            <w:pPr>
              <w:pStyle w:val="Compact"/>
            </w:pPr>
            <w:r>
              <w:t xml:space="preserve">Modality</w:t>
            </w:r>
          </w:p>
        </w:tc>
        <w:tc>
          <w:tcPr/>
          <w:p>
            <w:pPr>
              <w:pStyle w:val="Compact"/>
            </w:pPr>
            <w:r>
              <w:t xml:space="preserve">Oral small-molecule API</w:t>
            </w:r>
          </w:p>
        </w:tc>
      </w:tr>
      <w:tr>
        <w:tc>
          <w:tcPr/>
          <w:p>
            <w:pPr>
              <w:pStyle w:val="Compact"/>
            </w:pPr>
            <w:r>
              <w:t xml:space="preserve">Mechanism</w:t>
            </w:r>
          </w:p>
        </w:tc>
        <w:tc>
          <w:tcPr/>
          <w:p>
            <w:pPr>
              <w:pStyle w:val="Compact"/>
            </w:pPr>
            <w:r>
              <w:t xml:space="preserve">ATP-citrate lyase inhibitor; reduces hepatic cholesterol synthesis</w:t>
            </w:r>
          </w:p>
        </w:tc>
      </w:tr>
      <w:tr>
        <w:tc>
          <w:tcPr/>
          <w:p>
            <w:pPr>
              <w:pStyle w:val="Compact"/>
            </w:pPr>
            <w:r>
              <w:t xml:space="preserve">PCSK9 inhibitor?</w:t>
            </w:r>
          </w:p>
        </w:tc>
        <w:tc>
          <w:tcPr/>
          <w:p>
            <w:pPr>
              <w:pStyle w:val="Compact"/>
            </w:pPr>
            <w:r>
              <w:t xml:space="preserve">No</w:t>
            </w:r>
          </w:p>
        </w:tc>
      </w:tr>
      <w:tr>
        <w:tc>
          <w:tcPr/>
          <w:p>
            <w:pPr>
              <w:pStyle w:val="Compact"/>
            </w:pPr>
            <w:r>
              <w:t xml:space="preserve">Neuland’s role</w:t>
            </w:r>
          </w:p>
        </w:tc>
        <w:tc>
          <w:tcPr/>
          <w:p>
            <w:pPr>
              <w:pStyle w:val="Compact"/>
            </w:pPr>
            <w:r>
              <w:t xml:space="preserve">Final commercial API manufacturer</w:t>
            </w:r>
          </w:p>
        </w:tc>
      </w:tr>
      <w:tr>
        <w:tc>
          <w:tcPr/>
          <w:p>
            <w:pPr>
              <w:pStyle w:val="Compact"/>
            </w:pPr>
            <w:r>
              <w:t xml:space="preserve">Development history</w:t>
            </w:r>
          </w:p>
        </w:tc>
        <w:tc>
          <w:tcPr/>
          <w:p>
            <w:pPr>
              <w:pStyle w:val="Compact"/>
            </w:pPr>
            <w:r>
              <w:t xml:space="preserve">Technology transfer, pilot manufacture, scale-up, PPQ and regulatory support</w:t>
            </w:r>
          </w:p>
        </w:tc>
      </w:tr>
      <w:tr>
        <w:tc>
          <w:tcPr/>
          <w:p>
            <w:pPr>
              <w:pStyle w:val="Compact"/>
            </w:pPr>
            <w:r>
              <w:t xml:space="preserve">Manufacturing site</w:t>
            </w:r>
          </w:p>
        </w:tc>
        <w:tc>
          <w:tcPr/>
          <w:p>
            <w:pPr>
              <w:pStyle w:val="Compact"/>
            </w:pPr>
            <w:r>
              <w:t xml:space="preserve">Unit II, Pashamylaram</w:t>
            </w:r>
          </w:p>
        </w:tc>
      </w:tr>
      <w:tr>
        <w:tc>
          <w:tcPr/>
          <w:p>
            <w:pPr>
              <w:pStyle w:val="Compact"/>
            </w:pPr>
            <w:r>
              <w:t xml:space="preserve">Status</w:t>
            </w:r>
          </w:p>
        </w:tc>
        <w:tc>
          <w:tcPr/>
          <w:p>
            <w:pPr>
              <w:pStyle w:val="Compact"/>
            </w:pPr>
            <w:r>
              <w:t xml:space="preserve">Commercial</w:t>
            </w:r>
          </w:p>
        </w:tc>
      </w:tr>
      <w:tr>
        <w:tc>
          <w:tcPr/>
          <w:p>
            <w:pPr>
              <w:pStyle w:val="Compact"/>
            </w:pPr>
            <w:r>
              <w:t xml:space="preserve">Exclusive source?</w:t>
            </w:r>
          </w:p>
        </w:tc>
        <w:tc>
          <w:tcPr/>
          <w:p>
            <w:pPr>
              <w:pStyle w:val="Compact"/>
            </w:pPr>
            <w:r>
              <w:t xml:space="preserve">No evidence; Corden Pharma is also an approved manufacturer</w:t>
            </w:r>
          </w:p>
        </w:tc>
      </w:tr>
      <w:tr>
        <w:tc>
          <w:tcPr/>
          <w:p>
            <w:pPr>
              <w:pStyle w:val="Compact"/>
            </w:pPr>
            <w:r>
              <w:t xml:space="preserve">Current supply</w:t>
            </w:r>
          </w:p>
        </w:tc>
        <w:tc>
          <w:tcPr/>
          <w:p>
            <w:pPr>
              <w:pStyle w:val="Compact"/>
            </w:pPr>
            <w:r>
              <w:t xml:space="preserve">Strongly supported by regulatory records, though Neuland does not provide regular molecule-level commentary</w:t>
            </w:r>
          </w:p>
        </w:tc>
      </w:tr>
    </w:tbl>
    <w:bookmarkEnd w:id="11"/>
    <w:bookmarkStart w:id="13" w:name="what-is-confirmed-versus-inferred"/>
    <w:p>
      <w:pPr>
        <w:pStyle w:val="Heading3"/>
      </w:pPr>
      <w:r>
        <w:t xml:space="preserve">What is confirmed versus inferred?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w:t>
            </w:r>
          </w:p>
        </w:tc>
        <w:tc>
          <w:tcPr/>
          <w:p>
            <w:pPr>
              <w:pStyle w:val="Compact"/>
            </w:pPr>
            <w:r>
              <w:t xml:space="preserve">Assessment</w:t>
            </w:r>
          </w:p>
        </w:tc>
      </w:tr>
      <w:tr>
        <w:tc>
          <w:tcPr/>
          <w:p>
            <w:pPr>
              <w:pStyle w:val="Compact"/>
            </w:pPr>
            <w:r>
              <w:t xml:space="preserve">Neuland manufactures final bempedoic-acid API</w:t>
            </w:r>
          </w:p>
        </w:tc>
        <w:tc>
          <w:tcPr/>
          <w:p>
            <w:pPr>
              <w:pStyle w:val="Compact"/>
            </w:pPr>
            <w:r>
              <w:rPr>
                <w:b/>
                <w:bCs/>
              </w:rPr>
              <w:t xml:space="preserve">Confirmed</w:t>
            </w:r>
          </w:p>
        </w:tc>
      </w:tr>
      <w:tr>
        <w:tc>
          <w:tcPr/>
          <w:p>
            <w:pPr>
              <w:pStyle w:val="Compact"/>
            </w:pPr>
            <w:r>
              <w:t xml:space="preserve">Neuland only manufactures an intermediate</w:t>
            </w:r>
          </w:p>
        </w:tc>
        <w:tc>
          <w:tcPr/>
          <w:p>
            <w:pPr>
              <w:pStyle w:val="Compact"/>
            </w:pPr>
            <w:r>
              <w:rPr>
                <w:b/>
                <w:bCs/>
              </w:rPr>
              <w:t xml:space="preserve">Contradicted</w:t>
            </w:r>
          </w:p>
        </w:tc>
      </w:tr>
      <w:tr>
        <w:tc>
          <w:tcPr/>
          <w:p>
            <w:pPr>
              <w:pStyle w:val="Compact"/>
            </w:pPr>
            <w:r>
              <w:t xml:space="preserve">Neuland is the exclusive API supplier</w:t>
            </w:r>
          </w:p>
        </w:tc>
        <w:tc>
          <w:tcPr/>
          <w:p>
            <w:pPr>
              <w:pStyle w:val="Compact"/>
            </w:pPr>
            <w:r>
              <w:rPr>
                <w:b/>
                <w:bCs/>
              </w:rPr>
              <w:t xml:space="preserve">Contradicted / unsupported</w:t>
            </w:r>
          </w:p>
        </w:tc>
      </w:tr>
      <w:tr>
        <w:tc>
          <w:tcPr/>
          <w:p>
            <w:pPr>
              <w:pStyle w:val="Compact"/>
            </w:pPr>
            <w:r>
              <w:t xml:space="preserve">Neuland continues to be part of the approved commercial supply chain</w:t>
            </w:r>
          </w:p>
        </w:tc>
        <w:tc>
          <w:tcPr/>
          <w:p>
            <w:pPr>
              <w:pStyle w:val="Compact"/>
            </w:pPr>
            <w:r>
              <w:rPr>
                <w:b/>
                <w:bCs/>
              </w:rPr>
              <w:t xml:space="preserve">Strongly inferred</w:t>
            </w:r>
          </w:p>
        </w:tc>
      </w:tr>
      <w:tr>
        <w:tc>
          <w:tcPr/>
          <w:p>
            <w:pPr>
              <w:pStyle w:val="Compact"/>
            </w:pPr>
            <w:r>
              <w:t xml:space="preserve">Bempedoic acid is one of Neuland’s important commercial CMS products</w:t>
            </w:r>
          </w:p>
        </w:tc>
        <w:tc>
          <w:tcPr/>
          <w:p>
            <w:pPr>
              <w:pStyle w:val="Compact"/>
            </w:pPr>
            <w:r>
              <w:rPr>
                <w:b/>
                <w:bCs/>
              </w:rPr>
              <w:t xml:space="preserve">Strongly inferred</w:t>
            </w:r>
          </w:p>
        </w:tc>
      </w:tr>
      <w:tr>
        <w:tc>
          <w:tcPr/>
          <w:p>
            <w:pPr>
              <w:pStyle w:val="Compact"/>
            </w:pPr>
            <w:r>
              <w:t xml:space="preserve">Exact molecule-level revenue contribution</w:t>
            </w:r>
          </w:p>
        </w:tc>
        <w:tc>
          <w:tcPr/>
          <w:p>
            <w:pPr>
              <w:pStyle w:val="Compact"/>
            </w:pPr>
            <w:r>
              <w:rPr>
                <w:b/>
                <w:bCs/>
              </w:rPr>
              <w:t xml:space="preserve">Undisclosed</w:t>
            </w:r>
          </w:p>
        </w:tc>
      </w:tr>
    </w:tbl>
    <w:p>
      <w:pPr>
        <w:pStyle w:val="BodyText"/>
      </w:pPr>
      <w:r>
        <w:t xml:space="preserve">A current UK regulatory record lists both Neuland and Corden Pharma as bempedoic-acid manufacturers, demonstrating that Esperion has at least dual-source capability. (</w:t>
      </w:r>
      <w:hyperlink r:id="rId12">
        <w:r>
          <w:rPr>
            <w:rStyle w:val="Hyperlink"/>
          </w:rPr>
          <w:t xml:space="preserve">cms.mhra.gov.uk</w:t>
        </w:r>
      </w:hyperlink>
      <w:r>
        <w:t xml:space="preserve">)</w:t>
      </w:r>
    </w:p>
    <w:bookmarkEnd w:id="13"/>
    <w:bookmarkStart w:id="14" w:name="implication-for-neuland"/>
    <w:p>
      <w:pPr>
        <w:pStyle w:val="Heading3"/>
      </w:pPr>
      <w:r>
        <w:t xml:space="preserve">Implication for Neuland</w:t>
      </w:r>
    </w:p>
    <w:p>
      <w:pPr>
        <w:pStyle w:val="FirstParagraph"/>
      </w:pPr>
      <w:r>
        <w:t xml:space="preserve">Bempedoic acid is a high-quality reference project because it demonstrates Neuland’s ability to take an innovator API from technology transfer through validation and commercial manufacture. However, dual sourcing and customer inventory cycles mean prescription growth will not necessarily translate proportionately into Neuland revenue each quarter.</w:t>
      </w:r>
    </w:p>
    <w:p>
      <w:r>
        <w:pict>
          <v:rect style="width:0;height:1.5pt" o:hralign="center" o:hrstd="t" o:hr="t"/>
        </w:pict>
      </w:r>
    </w:p>
    <w:bookmarkEnd w:id="14"/>
    <w:bookmarkEnd w:id="15"/>
    <w:bookmarkStart w:id="20" w:name="Xaefd9223e0c4bb0eea9f03ccf9c5b5695235d92"/>
    <w:p>
      <w:pPr>
        <w:pStyle w:val="Heading2"/>
      </w:pPr>
      <w:r>
        <w:t xml:space="preserve">2. Blue Jet’s role: TosMIC, BBA-04 and the Neuland connection</w:t>
      </w:r>
    </w:p>
    <w:bookmarkStart w:id="17" w:name="direct-answer-1"/>
    <w:p>
      <w:pPr>
        <w:pStyle w:val="Heading3"/>
      </w:pPr>
      <w:r>
        <w:t xml:space="preserve">Direct answer</w:t>
      </w:r>
    </w:p>
    <w:p>
      <w:pPr>
        <w:pStyle w:val="FirstParagraph"/>
      </w:pPr>
      <w:r>
        <w:t xml:space="preserve">Blue Jet is confirmed as an upstream bempedoic-acid supply-chain participant. However, the precise commercial intermediate and the direct customer relationship require careful distinction.</w:t>
      </w:r>
    </w:p>
    <w:p>
      <w:pPr>
        <w:pStyle w:val="BodyText"/>
      </w:pPr>
      <w:r>
        <w:t xml:space="preserve">Blue Jet’s IPO prospectus identifies</w:t>
      </w:r>
      <w:r>
        <w:t xml:space="preserve"> </w:t>
      </w:r>
      <w:r>
        <w:rPr>
          <w:b/>
          <w:bCs/>
        </w:rPr>
        <w:t xml:space="preserve">TosMIC</w:t>
      </w:r>
      <w:r>
        <w:t xml:space="preserve"> </w:t>
      </w:r>
      <w:r>
        <w:t xml:space="preserve">as a CDMO product used in the manufacture of bempedoic acid. Subsequent external research indicates that Blue Jet’s major scaled commercial product is more likely</w:t>
      </w:r>
      <w:r>
        <w:t xml:space="preserve"> </w:t>
      </w:r>
      <w:r>
        <w:rPr>
          <w:b/>
          <w:bCs/>
        </w:rPr>
        <w:t xml:space="preserve">BBA-04</w:t>
      </w:r>
      <w:r>
        <w:t xml:space="preserve">, a later-stage advanced intermediate.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TosMIC</w:t>
            </w:r>
          </w:p>
        </w:tc>
        <w:tc>
          <w:tcPr/>
          <w:p>
            <w:pPr>
              <w:pStyle w:val="Compact"/>
            </w:pPr>
            <w:r>
              <w:t xml:space="preserve">BBA-04</w:t>
            </w:r>
          </w:p>
        </w:tc>
      </w:tr>
      <w:tr>
        <w:tc>
          <w:tcPr/>
          <w:p>
            <w:pPr>
              <w:pStyle w:val="Compact"/>
            </w:pPr>
            <w:r>
              <w:t xml:space="preserve">Full description</w:t>
            </w:r>
          </w:p>
        </w:tc>
        <w:tc>
          <w:tcPr/>
          <w:p>
            <w:pPr>
              <w:pStyle w:val="Compact"/>
            </w:pPr>
            <w:r>
              <w:t xml:space="preserve">Tosylmethyl isocyanide</w:t>
            </w:r>
          </w:p>
        </w:tc>
        <w:tc>
          <w:tcPr/>
          <w:p>
            <w:pPr>
              <w:pStyle w:val="Compact"/>
            </w:pPr>
            <w:r>
              <w:t xml:space="preserve">Diethyl 2,2,14,14-tetramethyl-8-oxopentadecanedioate</w:t>
            </w:r>
          </w:p>
        </w:tc>
      </w:tr>
      <w:tr>
        <w:tc>
          <w:tcPr/>
          <w:p>
            <w:pPr>
              <w:pStyle w:val="Compact"/>
            </w:pPr>
            <w:r>
              <w:t xml:space="preserve">CAS number</w:t>
            </w:r>
          </w:p>
        </w:tc>
        <w:tc>
          <w:tcPr/>
          <w:p>
            <w:pPr>
              <w:pStyle w:val="Compact"/>
            </w:pPr>
            <w:r>
              <w:t xml:space="preserve">36635-61-7</w:t>
            </w:r>
          </w:p>
        </w:tc>
        <w:tc>
          <w:tcPr/>
          <w:p>
            <w:pPr>
              <w:pStyle w:val="Compact"/>
            </w:pPr>
            <w:r>
              <w:t xml:space="preserve">738606-43-4</w:t>
            </w:r>
          </w:p>
        </w:tc>
      </w:tr>
      <w:tr>
        <w:tc>
          <w:tcPr/>
          <w:p>
            <w:pPr>
              <w:pStyle w:val="Compact"/>
            </w:pPr>
            <w:r>
              <w:t xml:space="preserve">Position in synthesis</w:t>
            </w:r>
          </w:p>
        </w:tc>
        <w:tc>
          <w:tcPr/>
          <w:p>
            <w:pPr>
              <w:pStyle w:val="Compact"/>
            </w:pPr>
            <w:r>
              <w:t xml:space="preserve">Upstream building block</w:t>
            </w:r>
          </w:p>
        </w:tc>
        <w:tc>
          <w:tcPr/>
          <w:p>
            <w:pPr>
              <w:pStyle w:val="Compact"/>
            </w:pPr>
            <w:r>
              <w:t xml:space="preserve">Advanced, late-stage intermediate</w:t>
            </w:r>
          </w:p>
        </w:tc>
      </w:tr>
      <w:tr>
        <w:tc>
          <w:tcPr/>
          <w:p>
            <w:pPr>
              <w:pStyle w:val="Compact"/>
            </w:pPr>
            <w:r>
              <w:t xml:space="preserve">Blue Jet disclosure</w:t>
            </w:r>
          </w:p>
        </w:tc>
        <w:tc>
          <w:tcPr/>
          <w:p>
            <w:pPr>
              <w:pStyle w:val="Compact"/>
            </w:pPr>
            <w:r>
              <w:t xml:space="preserve">Explicitly listed in prospectus</w:t>
            </w:r>
          </w:p>
        </w:tc>
        <w:tc>
          <w:tcPr/>
          <w:p>
            <w:pPr>
              <w:pStyle w:val="Compact"/>
            </w:pPr>
            <w:r>
              <w:t xml:space="preserve">Identified in subsequent detailed industry research</w:t>
            </w:r>
          </w:p>
        </w:tc>
      </w:tr>
      <w:tr>
        <w:tc>
          <w:tcPr/>
          <w:p>
            <w:pPr>
              <w:pStyle w:val="Compact"/>
            </w:pPr>
            <w:r>
              <w:t xml:space="preserve">Relevance</w:t>
            </w:r>
          </w:p>
        </w:tc>
        <w:tc>
          <w:tcPr/>
          <w:p>
            <w:pPr>
              <w:pStyle w:val="Compact"/>
            </w:pPr>
            <w:r>
              <w:t xml:space="preserve">Historical or upstream product mapping</w:t>
            </w:r>
          </w:p>
        </w:tc>
        <w:tc>
          <w:tcPr/>
          <w:p>
            <w:pPr>
              <w:pStyle w:val="Compact"/>
            </w:pPr>
            <w:r>
              <w:t xml:space="preserve">More likely principal commercial bempedoic intermediate</w:t>
            </w:r>
          </w:p>
        </w:tc>
      </w:tr>
    </w:tbl>
    <w:p>
      <w:pPr>
        <w:pStyle w:val="BodyText"/>
      </w:pPr>
      <w:r>
        <w:t xml:space="preserve">Blue Jet’s prospectus confirms TosMIC’s connection to bempedoic acid. Published chemistry also supports TosMIC being used upstream to manufacture the keto-diacid ester intermediate. (</w:t>
      </w:r>
      <w:hyperlink r:id="rId16">
        <w:r>
          <w:rPr>
            <w:rStyle w:val="Hyperlink"/>
          </w:rPr>
          <w:t xml:space="preserve">sebi.gov.in</w:t>
        </w:r>
      </w:hyperlink>
      <w:r>
        <w:t xml:space="preserve">)</w:t>
      </w:r>
    </w:p>
    <w:bookmarkEnd w:id="17"/>
    <w:bookmarkStart w:id="18" w:name="most-defensible-supply-chain-map"/>
    <w:p>
      <w:pPr>
        <w:pStyle w:val="Heading3"/>
      </w:pPr>
      <w:r>
        <w:t xml:space="preserve">Most defensible supply-chain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Supply-chain step</w:t>
            </w:r>
          </w:p>
        </w:tc>
        <w:tc>
          <w:tcPr/>
          <w:p>
            <w:pPr>
              <w:pStyle w:val="Compact"/>
            </w:pPr>
            <w:r>
              <w:t xml:space="preserve">Evidence rating</w:t>
            </w:r>
          </w:p>
        </w:tc>
      </w:tr>
      <w:tr>
        <w:tc>
          <w:tcPr/>
          <w:p>
            <w:pPr>
              <w:pStyle w:val="Compact"/>
            </w:pPr>
            <w:r>
              <w:t xml:space="preserve">Raw materials → Blue Jet TosMIC/BBA-04</w:t>
            </w:r>
          </w:p>
        </w:tc>
        <w:tc>
          <w:tcPr/>
          <w:p>
            <w:pPr>
              <w:pStyle w:val="Compact"/>
            </w:pPr>
            <w:r>
              <w:rPr>
                <w:b/>
                <w:bCs/>
              </w:rPr>
              <w:t xml:space="preserve">Confirmed / strongly inferred</w:t>
            </w:r>
          </w:p>
        </w:tc>
      </w:tr>
      <w:tr>
        <w:tc>
          <w:tcPr/>
          <w:p>
            <w:pPr>
              <w:pStyle w:val="Compact"/>
            </w:pPr>
            <w:r>
              <w:t xml:space="preserve">Blue Jet intermediate → Esperion-qualified supply chain</w:t>
            </w:r>
          </w:p>
        </w:tc>
        <w:tc>
          <w:tcPr/>
          <w:p>
            <w:pPr>
              <w:pStyle w:val="Compact"/>
            </w:pPr>
            <w:r>
              <w:rPr>
                <w:b/>
                <w:bCs/>
              </w:rPr>
              <w:t xml:space="preserve">Strongly inferred</w:t>
            </w:r>
          </w:p>
        </w:tc>
      </w:tr>
      <w:tr>
        <w:tc>
          <w:tcPr/>
          <w:p>
            <w:pPr>
              <w:pStyle w:val="Compact"/>
            </w:pPr>
            <w:r>
              <w:t xml:space="preserve">Blue Jet intermediate → Neuland directly</w:t>
            </w:r>
          </w:p>
        </w:tc>
        <w:tc>
          <w:tcPr/>
          <w:p>
            <w:pPr>
              <w:pStyle w:val="Compact"/>
            </w:pPr>
            <w:r>
              <w:rPr>
                <w:b/>
                <w:bCs/>
              </w:rPr>
              <w:t xml:space="preserve">Unverified</w:t>
            </w:r>
          </w:p>
        </w:tc>
      </w:tr>
      <w:tr>
        <w:tc>
          <w:tcPr/>
          <w:p>
            <w:pPr>
              <w:pStyle w:val="Compact"/>
            </w:pPr>
            <w:r>
              <w:t xml:space="preserve">Neuland → final bempedoic-acid API</w:t>
            </w:r>
          </w:p>
        </w:tc>
        <w:tc>
          <w:tcPr/>
          <w:p>
            <w:pPr>
              <w:pStyle w:val="Compact"/>
            </w:pPr>
            <w:r>
              <w:rPr>
                <w:b/>
                <w:bCs/>
              </w:rPr>
              <w:t xml:space="preserve">Confirmed</w:t>
            </w:r>
          </w:p>
        </w:tc>
      </w:tr>
      <w:tr>
        <w:tc>
          <w:tcPr/>
          <w:p>
            <w:pPr>
              <w:pStyle w:val="Compact"/>
            </w:pPr>
            <w:r>
              <w:t xml:space="preserve">Neuland API → Esperion/formulation partner</w:t>
            </w:r>
          </w:p>
        </w:tc>
        <w:tc>
          <w:tcPr/>
          <w:p>
            <w:pPr>
              <w:pStyle w:val="Compact"/>
            </w:pPr>
            <w:r>
              <w:rPr>
                <w:b/>
                <w:bCs/>
              </w:rPr>
              <w:t xml:space="preserve">Confirmed historically; continuing relationship strongly inferred</w:t>
            </w:r>
          </w:p>
        </w:tc>
      </w:tr>
      <w:tr>
        <w:tc>
          <w:tcPr/>
          <w:p>
            <w:pPr>
              <w:pStyle w:val="Compact"/>
            </w:pPr>
            <w:r>
              <w:t xml:space="preserve">Formulation → Nexletol/Nexlizet</w:t>
            </w:r>
          </w:p>
        </w:tc>
        <w:tc>
          <w:tcPr/>
          <w:p>
            <w:pPr>
              <w:pStyle w:val="Compact"/>
            </w:pPr>
            <w:r>
              <w:rPr>
                <w:b/>
                <w:bCs/>
              </w:rPr>
              <w:t xml:space="preserve">Confirmed</w:t>
            </w:r>
          </w:p>
        </w:tc>
      </w:tr>
    </w:tbl>
    <w:p>
      <w:pPr>
        <w:pStyle w:val="BodyText"/>
      </w:pPr>
      <w:r>
        <w:rPr>
          <w:b/>
          <w:bCs/>
        </w:rPr>
        <w:t xml:space="preserve">Simplified map</w:t>
      </w:r>
    </w:p>
    <w:p>
      <w:pPr>
        <w:pStyle w:val="BodyText"/>
      </w:pPr>
      <w:r>
        <w:t xml:space="preserve">Raw materials</w:t>
      </w:r>
      <w:r>
        <w:br/>
      </w:r>
      <w:r>
        <w:t xml:space="preserve">→</w:t>
      </w:r>
      <w:r>
        <w:t xml:space="preserve"> </w:t>
      </w:r>
      <w:r>
        <w:rPr>
          <w:b/>
          <w:bCs/>
        </w:rPr>
        <w:t xml:space="preserve">Blue Jet intermediate</w:t>
      </w:r>
      <w:r>
        <w:br/>
      </w:r>
      <w:r>
        <w:t xml:space="preserve">→</w:t>
      </w:r>
      <w:r>
        <w:t xml:space="preserve"> </w:t>
      </w:r>
      <w:r>
        <w:rPr>
          <w:b/>
          <w:bCs/>
        </w:rPr>
        <w:t xml:space="preserve">Esperion-qualified API manufacturing network</w:t>
      </w:r>
      <w:r>
        <w:br/>
      </w:r>
      <w:r>
        <w:t xml:space="preserve">→</w:t>
      </w:r>
      <w:r>
        <w:t xml:space="preserve"> </w:t>
      </w:r>
      <w:r>
        <w:rPr>
          <w:b/>
          <w:bCs/>
        </w:rPr>
        <w:t xml:space="preserve">Neuland and/or other approved API manufacturer</w:t>
      </w:r>
      <w:r>
        <w:br/>
      </w:r>
      <w:r>
        <w:t xml:space="preserve">→</w:t>
      </w:r>
      <w:r>
        <w:t xml:space="preserve"> </w:t>
      </w:r>
      <w:r>
        <w:rPr>
          <w:b/>
          <w:bCs/>
        </w:rPr>
        <w:t xml:space="preserve">Formulation and packaging</w:t>
      </w:r>
      <w:r>
        <w:br/>
      </w:r>
      <w:r>
        <w:t xml:space="preserve">→</w:t>
      </w:r>
      <w:r>
        <w:t xml:space="preserve"> </w:t>
      </w:r>
      <w:r>
        <w:rPr>
          <w:b/>
          <w:bCs/>
        </w:rPr>
        <w:t xml:space="preserve">Nexletol / Nexlizet</w:t>
      </w:r>
    </w:p>
    <w:p>
      <w:pPr>
        <w:pStyle w:val="BodyText"/>
      </w:pPr>
      <w:r>
        <w:t xml:space="preserve">The critical point is that Blue Jet and Neuland may sit in the same innovator-directed supply chain without transacting directly with each other. Esperion may nominate the intermediate vendor or supply it separately to Neuland and other API manufacturers.</w:t>
      </w:r>
    </w:p>
    <w:p>
      <w:pPr>
        <w:pStyle w:val="BodyText"/>
      </w:pPr>
      <w:r>
        <w:t xml:space="preserve">Blue Jet’s recent destocking commentary is also relevant. Its cardiovascular-intermediate business experienced a sharp revenue decline despite underlying end-market growth, demonstrating the impact of inventory adjustments, campaign manufacturing and supply-chain realignment.</w:t>
      </w:r>
    </w:p>
    <w:bookmarkEnd w:id="18"/>
    <w:bookmarkStart w:id="19" w:name="implication-for-neuland-1"/>
    <w:p>
      <w:pPr>
        <w:pStyle w:val="Heading3"/>
      </w:pPr>
      <w:r>
        <w:t xml:space="preserve">Implication for Neuland</w:t>
      </w:r>
    </w:p>
    <w:p>
      <w:pPr>
        <w:pStyle w:val="FirstParagraph"/>
      </w:pPr>
      <w:r>
        <w:t xml:space="preserve">Blue Jet’s experience reinforces that bempedoic-related revenue can be volatile even when prescription demand is healthy. It should not be used to infer Neuland’s quarterly performance directly, but it is an important signal of upstream inventory conditions.</w:t>
      </w:r>
    </w:p>
    <w:p>
      <w:r>
        <w:pict>
          <v:rect style="width:0;height:1.5pt" o:hralign="center" o:hrstd="t" o:hr="t"/>
        </w:pict>
      </w:r>
    </w:p>
    <w:bookmarkEnd w:id="19"/>
    <w:bookmarkEnd w:id="20"/>
    <w:bookmarkStart w:id="28" w:name="Xf76cd4174f43648856af87e6184e9f9d73ba1bd"/>
    <w:p>
      <w:pPr>
        <w:pStyle w:val="Heading2"/>
      </w:pPr>
      <w:r>
        <w:t xml:space="preserve">3. Merck’s enlicitide: Why it matters and whether Neuland is involved</w:t>
      </w:r>
    </w:p>
    <w:bookmarkStart w:id="22" w:name="molecule-profile"/>
    <w:p>
      <w:pPr>
        <w:pStyle w:val="Heading3"/>
      </w:pPr>
      <w:r>
        <w:t xml:space="preserve">Molecule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Brand</w:t>
            </w:r>
          </w:p>
        </w:tc>
        <w:tc>
          <w:tcPr/>
          <w:p>
            <w:pPr>
              <w:pStyle w:val="Compact"/>
            </w:pPr>
            <w:r>
              <w:t xml:space="preserve">Lipfendra</w:t>
            </w:r>
          </w:p>
        </w:tc>
      </w:tr>
      <w:tr>
        <w:tc>
          <w:tcPr/>
          <w:p>
            <w:pPr>
              <w:pStyle w:val="Compact"/>
            </w:pPr>
            <w:r>
              <w:t xml:space="preserve">INN</w:t>
            </w:r>
          </w:p>
        </w:tc>
        <w:tc>
          <w:tcPr/>
          <w:p>
            <w:pPr>
              <w:pStyle w:val="Compact"/>
            </w:pPr>
            <w:r>
              <w:t xml:space="preserve">Enlicitide</w:t>
            </w:r>
          </w:p>
        </w:tc>
      </w:tr>
      <w:tr>
        <w:tc>
          <w:tcPr/>
          <w:p>
            <w:pPr>
              <w:pStyle w:val="Compact"/>
            </w:pPr>
            <w:r>
              <w:t xml:space="preserve">Development code</w:t>
            </w:r>
          </w:p>
        </w:tc>
        <w:tc>
          <w:tcPr/>
          <w:p>
            <w:pPr>
              <w:pStyle w:val="Compact"/>
            </w:pPr>
            <w:r>
              <w:t xml:space="preserve">MK-0616</w:t>
            </w:r>
          </w:p>
        </w:tc>
      </w:tr>
      <w:tr>
        <w:tc>
          <w:tcPr/>
          <w:p>
            <w:pPr>
              <w:pStyle w:val="Compact"/>
            </w:pPr>
            <w:r>
              <w:t xml:space="preserve">Commercial form</w:t>
            </w:r>
          </w:p>
        </w:tc>
        <w:tc>
          <w:tcPr/>
          <w:p>
            <w:pPr>
              <w:pStyle w:val="Compact"/>
            </w:pPr>
            <w:r>
              <w:t xml:space="preserve">Enlicitide decanoate</w:t>
            </w:r>
          </w:p>
        </w:tc>
      </w:tr>
      <w:tr>
        <w:tc>
          <w:tcPr/>
          <w:p>
            <w:pPr>
              <w:pStyle w:val="Compact"/>
            </w:pPr>
            <w:r>
              <w:t xml:space="preserve">Company</w:t>
            </w:r>
          </w:p>
        </w:tc>
        <w:tc>
          <w:tcPr/>
          <w:p>
            <w:pPr>
              <w:pStyle w:val="Compact"/>
            </w:pPr>
            <w:r>
              <w:t xml:space="preserve">Merck</w:t>
            </w:r>
          </w:p>
        </w:tc>
      </w:tr>
      <w:tr>
        <w:tc>
          <w:tcPr/>
          <w:p>
            <w:pPr>
              <w:pStyle w:val="Compact"/>
            </w:pPr>
            <w:r>
              <w:t xml:space="preserve">Approval date</w:t>
            </w:r>
          </w:p>
        </w:tc>
        <w:tc>
          <w:tcPr/>
          <w:p>
            <w:pPr>
              <w:pStyle w:val="Compact"/>
            </w:pPr>
            <w:r>
              <w:t xml:space="preserve">17 July 2026</w:t>
            </w:r>
          </w:p>
        </w:tc>
      </w:tr>
      <w:tr>
        <w:tc>
          <w:tcPr/>
          <w:p>
            <w:pPr>
              <w:pStyle w:val="Compact"/>
            </w:pPr>
            <w:r>
              <w:t xml:space="preserve">Modality</w:t>
            </w:r>
          </w:p>
        </w:tc>
        <w:tc>
          <w:tcPr/>
          <w:p>
            <w:pPr>
              <w:pStyle w:val="Compact"/>
            </w:pPr>
            <w:r>
              <w:t xml:space="preserve">Oral macrocyclic peptide</w:t>
            </w:r>
          </w:p>
        </w:tc>
      </w:tr>
      <w:tr>
        <w:tc>
          <w:tcPr/>
          <w:p>
            <w:pPr>
              <w:pStyle w:val="Compact"/>
            </w:pPr>
            <w:r>
              <w:t xml:space="preserve">Target</w:t>
            </w:r>
          </w:p>
        </w:tc>
        <w:tc>
          <w:tcPr/>
          <w:p>
            <w:pPr>
              <w:pStyle w:val="Compact"/>
            </w:pPr>
            <w:r>
              <w:t xml:space="preserve">Circulating PCSK9</w:t>
            </w:r>
          </w:p>
        </w:tc>
      </w:tr>
      <w:tr>
        <w:tc>
          <w:tcPr/>
          <w:p>
            <w:pPr>
              <w:pStyle w:val="Compact"/>
            </w:pPr>
            <w:r>
              <w:t xml:space="preserve">Dose</w:t>
            </w:r>
          </w:p>
        </w:tc>
        <w:tc>
          <w:tcPr/>
          <w:p>
            <w:pPr>
              <w:pStyle w:val="Compact"/>
            </w:pPr>
            <w:r>
              <w:t xml:space="preserve">Once daily</w:t>
            </w:r>
          </w:p>
        </w:tc>
      </w:tr>
      <w:tr>
        <w:tc>
          <w:tcPr/>
          <w:p>
            <w:pPr>
              <w:pStyle w:val="Compact"/>
            </w:pPr>
            <w:r>
              <w:t xml:space="preserve">LDL-C reduction</w:t>
            </w:r>
          </w:p>
        </w:tc>
        <w:tc>
          <w:tcPr/>
          <w:p>
            <w:pPr>
              <w:pStyle w:val="Compact"/>
            </w:pPr>
            <w:r>
              <w:t xml:space="preserve">Approximately 56–59%</w:t>
            </w:r>
          </w:p>
        </w:tc>
      </w:tr>
      <w:tr>
        <w:tc>
          <w:tcPr/>
          <w:p>
            <w:pPr>
              <w:pStyle w:val="Compact"/>
            </w:pPr>
            <w:r>
              <w:t xml:space="preserve">Neuland relationship</w:t>
            </w:r>
          </w:p>
        </w:tc>
        <w:tc>
          <w:tcPr/>
          <w:p>
            <w:pPr>
              <w:pStyle w:val="Compact"/>
            </w:pPr>
            <w:r>
              <w:t xml:space="preserve">No identifiable evidence</w:t>
            </w:r>
          </w:p>
        </w:tc>
      </w:tr>
    </w:tbl>
    <w:p>
      <w:pPr>
        <w:pStyle w:val="BodyText"/>
      </w:pPr>
      <w:r>
        <w:t xml:space="preserve">The FDA approved Lipfendra as the first oral PCSK9 inhibitor. It delivers LDL lowering broadly comparable with injectable PCSK9 therapies, but in an oral tablet. (</w:t>
      </w:r>
      <w:hyperlink r:id="rId21">
        <w:r>
          <w:rPr>
            <w:rStyle w:val="Hyperlink"/>
          </w:rPr>
          <w:t xml:space="preserve">fda.gov</w:t>
        </w:r>
      </w:hyperlink>
      <w:r>
        <w:t xml:space="preserve">)</w:t>
      </w:r>
    </w:p>
    <w:bookmarkEnd w:id="22"/>
    <w:bookmarkStart w:id="24" w:name="why-the-chemistry-is-differentiated"/>
    <w:p>
      <w:pPr>
        <w:pStyle w:val="Heading3"/>
      </w:pPr>
      <w:r>
        <w:t xml:space="preserve">Why the chemistry is differentiated</w:t>
      </w:r>
    </w:p>
    <w:p>
      <w:pPr>
        <w:pStyle w:val="FirstParagraph"/>
      </w:pPr>
      <w:r>
        <w:t xml:space="preserve">A conventional linear peptide is a flexible amino-acid chain. A macrocyclic peptide contains a ring-closing bond that constrains the molecule into a defined three-dimensional shape.</w:t>
      </w:r>
    </w:p>
    <w:p>
      <w:pPr>
        <w:pStyle w:val="BodyText"/>
      </w:pPr>
      <w:r>
        <w:t xml:space="preserve">This matters because macrocyclisation can:</w:t>
      </w:r>
    </w:p>
    <w:p>
      <w:pPr>
        <w:pStyle w:val="Compact"/>
        <w:numPr>
          <w:ilvl w:val="0"/>
          <w:numId w:val="1002"/>
        </w:numPr>
      </w:pPr>
      <w:r>
        <w:t xml:space="preserve">Improve resistance to enzymatic degradation.</w:t>
      </w:r>
    </w:p>
    <w:p>
      <w:pPr>
        <w:pStyle w:val="Compact"/>
        <w:numPr>
          <w:ilvl w:val="0"/>
          <w:numId w:val="1002"/>
        </w:numPr>
      </w:pPr>
      <w:r>
        <w:t xml:space="preserve">Reduce molecular flexibility.</w:t>
      </w:r>
    </w:p>
    <w:p>
      <w:pPr>
        <w:pStyle w:val="Compact"/>
        <w:numPr>
          <w:ilvl w:val="0"/>
          <w:numId w:val="1002"/>
        </w:numPr>
      </w:pPr>
      <w:r>
        <w:t xml:space="preserve">Improve binding to broad protein surfaces.</w:t>
      </w:r>
    </w:p>
    <w:p>
      <w:pPr>
        <w:pStyle w:val="Compact"/>
        <w:numPr>
          <w:ilvl w:val="0"/>
          <w:numId w:val="1002"/>
        </w:numPr>
      </w:pPr>
      <w:r>
        <w:t xml:space="preserve">Enhance permeability relative to conventional linear peptides.</w:t>
      </w:r>
    </w:p>
    <w:p>
      <w:pPr>
        <w:pStyle w:val="Compact"/>
        <w:numPr>
          <w:ilvl w:val="0"/>
          <w:numId w:val="1002"/>
        </w:numPr>
      </w:pPr>
      <w:r>
        <w:t xml:space="preserve">Support oral administration in carefully engineered molecules.</w:t>
      </w:r>
    </w:p>
    <w:p>
      <w:pPr>
        <w:pStyle w:val="FirstParagraph"/>
      </w:pPr>
      <w:r>
        <w:t xml:space="preserve">Enlicitide’s manufacturing process is significantly more complex than standard small-molecule chemistry or straightforward linear-peptide SPPS. Public process work describes:</w:t>
      </w:r>
    </w:p>
    <w:p>
      <w:pPr>
        <w:pStyle w:val="Compact"/>
        <w:numPr>
          <w:ilvl w:val="0"/>
          <w:numId w:val="1003"/>
        </w:numPr>
      </w:pPr>
      <w:r>
        <w:t xml:space="preserve">Multiple protected peptide fragments.</w:t>
      </w:r>
    </w:p>
    <w:p>
      <w:pPr>
        <w:pStyle w:val="Compact"/>
        <w:numPr>
          <w:ilvl w:val="0"/>
          <w:numId w:val="1003"/>
        </w:numPr>
      </w:pPr>
      <w:r>
        <w:t xml:space="preserve">Non-natural amino acids.</w:t>
      </w:r>
    </w:p>
    <w:p>
      <w:pPr>
        <w:pStyle w:val="Compact"/>
        <w:numPr>
          <w:ilvl w:val="0"/>
          <w:numId w:val="1003"/>
        </w:numPr>
      </w:pPr>
      <w:r>
        <w:t xml:space="preserve">Convergent fragment coupling.</w:t>
      </w:r>
    </w:p>
    <w:p>
      <w:pPr>
        <w:pStyle w:val="Compact"/>
        <w:numPr>
          <w:ilvl w:val="0"/>
          <w:numId w:val="1003"/>
        </w:numPr>
      </w:pPr>
      <w:r>
        <w:t xml:space="preserve">Selective deprotection.</w:t>
      </w:r>
    </w:p>
    <w:p>
      <w:pPr>
        <w:pStyle w:val="Compact"/>
        <w:numPr>
          <w:ilvl w:val="0"/>
          <w:numId w:val="1003"/>
        </w:numPr>
      </w:pPr>
      <w:r>
        <w:t xml:space="preserve">Macrocyclisation.</w:t>
      </w:r>
    </w:p>
    <w:p>
      <w:pPr>
        <w:pStyle w:val="Compact"/>
        <w:numPr>
          <w:ilvl w:val="0"/>
          <w:numId w:val="1003"/>
        </w:numPr>
      </w:pPr>
      <w:r>
        <w:t xml:space="preserve">Complex impurity and stereochemistry control.</w:t>
      </w:r>
    </w:p>
    <w:p>
      <w:pPr>
        <w:pStyle w:val="Compact"/>
        <w:numPr>
          <w:ilvl w:val="0"/>
          <w:numId w:val="1003"/>
        </w:numPr>
      </w:pPr>
      <w:r>
        <w:t xml:space="preserve">Extensive purification and crystallisation development.</w:t>
      </w:r>
    </w:p>
    <w:p>
      <w:pPr>
        <w:pStyle w:val="Compact"/>
        <w:numPr>
          <w:ilvl w:val="0"/>
          <w:numId w:val="1003"/>
        </w:numPr>
      </w:pPr>
      <w:r>
        <w:t xml:space="preserve">Engineered enzymes in the newer manufacturing route.</w:t>
      </w:r>
    </w:p>
    <w:p>
      <w:pPr>
        <w:pStyle w:val="FirstParagraph"/>
      </w:pPr>
      <w:r>
        <w:t xml:space="preserve">Merck’s newer process uses biocatalysis for building-block manufacture, fragment coupling and macrocyclisation, reducing chemical steps and replacing some chromatography with crystallisation. (</w:t>
      </w:r>
      <w:hyperlink r:id="rId23">
        <w:r>
          <w:rPr>
            <w:rStyle w:val="Hyperlink"/>
          </w:rPr>
          <w:t xml:space="preserve">pubmed.ncbi.nlm.nih.gov</w:t>
        </w:r>
      </w:hyperlink>
      <w:r>
        <w:t xml:space="preserve">)</w:t>
      </w:r>
    </w:p>
    <w:bookmarkEnd w:id="24"/>
    <w:bookmarkStart w:id="25" w:name="is-neuland-connected-to-enlicitide"/>
    <w:p>
      <w:pPr>
        <w:pStyle w:val="Heading3"/>
      </w:pPr>
      <w:r>
        <w:t xml:space="preserve">Is Neuland connected to enlicitide?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 reviewed</w:t>
            </w:r>
          </w:p>
        </w:tc>
        <w:tc>
          <w:tcPr/>
          <w:p>
            <w:pPr>
              <w:pStyle w:val="Compact"/>
            </w:pPr>
            <w:r>
              <w:t xml:space="preserve">Finding</w:t>
            </w:r>
          </w:p>
        </w:tc>
      </w:tr>
      <w:tr>
        <w:tc>
          <w:tcPr/>
          <w:p>
            <w:pPr>
              <w:pStyle w:val="Compact"/>
            </w:pPr>
            <w:r>
              <w:t xml:space="preserve">Neuland disclosures</w:t>
            </w:r>
          </w:p>
        </w:tc>
        <w:tc>
          <w:tcPr/>
          <w:p>
            <w:pPr>
              <w:pStyle w:val="Compact"/>
            </w:pPr>
            <w:r>
              <w:t xml:space="preserve">No mention of enlicitide, MK-0616 or Lipfendra</w:t>
            </w:r>
          </w:p>
        </w:tc>
      </w:tr>
      <w:tr>
        <w:tc>
          <w:tcPr/>
          <w:p>
            <w:pPr>
              <w:pStyle w:val="Compact"/>
            </w:pPr>
            <w:r>
              <w:t xml:space="preserve">Merck disclosures</w:t>
            </w:r>
          </w:p>
        </w:tc>
        <w:tc>
          <w:tcPr/>
          <w:p>
            <w:pPr>
              <w:pStyle w:val="Compact"/>
            </w:pPr>
            <w:r>
              <w:t xml:space="preserve">No Neuland reference</w:t>
            </w:r>
          </w:p>
        </w:tc>
      </w:tr>
      <w:tr>
        <w:tc>
          <w:tcPr/>
          <w:p>
            <w:pPr>
              <w:pStyle w:val="Compact"/>
            </w:pPr>
            <w:r>
              <w:t xml:space="preserve">FDA and regulatory documents</w:t>
            </w:r>
          </w:p>
        </w:tc>
        <w:tc>
          <w:tcPr/>
          <w:p>
            <w:pPr>
              <w:pStyle w:val="Compact"/>
            </w:pPr>
            <w:r>
              <w:t xml:space="preserve">No Neuland manufacturing record identified</w:t>
            </w:r>
          </w:p>
        </w:tc>
      </w:tr>
      <w:tr>
        <w:tc>
          <w:tcPr/>
          <w:p>
            <w:pPr>
              <w:pStyle w:val="Compact"/>
            </w:pPr>
            <w:r>
              <w:t xml:space="preserve">Process-chemistry publications</w:t>
            </w:r>
          </w:p>
        </w:tc>
        <w:tc>
          <w:tcPr/>
          <w:p>
            <w:pPr>
              <w:pStyle w:val="Compact"/>
            </w:pPr>
            <w:r>
              <w:t xml:space="preserve">Merck and SynTheAll/WuXi involvement visible; no Neuland involvement</w:t>
            </w:r>
          </w:p>
        </w:tc>
      </w:tr>
      <w:tr>
        <w:tc>
          <w:tcPr/>
          <w:p>
            <w:pPr>
              <w:pStyle w:val="Compact"/>
            </w:pPr>
            <w:r>
              <w:t xml:space="preserve">Public patents and project mapping</w:t>
            </w:r>
          </w:p>
        </w:tc>
        <w:tc>
          <w:tcPr/>
          <w:p>
            <w:pPr>
              <w:pStyle w:val="Compact"/>
            </w:pPr>
            <w:r>
              <w:t xml:space="preserve">No credible Neuland connection</w:t>
            </w:r>
          </w:p>
        </w:tc>
      </w:tr>
      <w:tr>
        <w:tc>
          <w:tcPr/>
          <w:p>
            <w:pPr>
              <w:pStyle w:val="Compact"/>
            </w:pPr>
            <w:r>
              <w:t xml:space="preserve">Capability overlap</w:t>
            </w:r>
          </w:p>
        </w:tc>
        <w:tc>
          <w:tcPr/>
          <w:p>
            <w:pPr>
              <w:pStyle w:val="Compact"/>
            </w:pPr>
            <w:r>
              <w:t xml:space="preserve">Meaningful</w:t>
            </w:r>
          </w:p>
        </w:tc>
      </w:tr>
      <w:tr>
        <w:tc>
          <w:tcPr/>
          <w:p>
            <w:pPr>
              <w:pStyle w:val="Compact"/>
            </w:pPr>
            <w:r>
              <w:t xml:space="preserve">Customer evidence</w:t>
            </w:r>
          </w:p>
        </w:tc>
        <w:tc>
          <w:tcPr/>
          <w:p>
            <w:pPr>
              <w:pStyle w:val="Compact"/>
            </w:pPr>
            <w:r>
              <w:t xml:space="preserve">None</w:t>
            </w:r>
          </w:p>
        </w:tc>
      </w:tr>
    </w:tbl>
    <w:p>
      <w:pPr>
        <w:pStyle w:val="BodyText"/>
      </w:pPr>
      <w:r>
        <w:rPr>
          <w:b/>
          <w:bCs/>
        </w:rPr>
        <w:t xml:space="preserve">Final classification: Capability read-through but no customer evidence.</w:t>
      </w:r>
    </w:p>
    <w:bookmarkEnd w:id="25"/>
    <w:bookmarkStart w:id="26" w:name="capability-overlap-with-neuland"/>
    <w:p>
      <w:pPr>
        <w:pStyle w:val="Heading3"/>
      </w:pPr>
      <w:r>
        <w:t xml:space="preserve">Capability overlap with Neuland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Enlicitide requirement</w:t>
            </w:r>
          </w:p>
        </w:tc>
        <w:tc>
          <w:tcPr/>
          <w:p>
            <w:pPr>
              <w:pStyle w:val="Compact"/>
            </w:pPr>
            <w:r>
              <w:t xml:space="preserve">Neuland capability</w:t>
            </w:r>
          </w:p>
        </w:tc>
        <w:tc>
          <w:tcPr/>
          <w:p>
            <w:pPr>
              <w:pStyle w:val="Compact"/>
            </w:pPr>
            <w:r>
              <w:t xml:space="preserve">Assessment</w:t>
            </w:r>
          </w:p>
        </w:tc>
      </w:tr>
      <w:tr>
        <w:tc>
          <w:tcPr/>
          <w:p>
            <w:pPr>
              <w:pStyle w:val="Compact"/>
            </w:pPr>
            <w:r>
              <w:t xml:space="preserve">Solution-phase peptide synthesis</w:t>
            </w:r>
          </w:p>
        </w:tc>
        <w:tc>
          <w:tcPr/>
          <w:p>
            <w:pPr>
              <w:pStyle w:val="Compact"/>
            </w:pPr>
            <w:r>
              <w:t xml:space="preserve">Disclosed</w:t>
            </w:r>
          </w:p>
        </w:tc>
        <w:tc>
          <w:tcPr/>
          <w:p>
            <w:pPr>
              <w:pStyle w:val="Compact"/>
            </w:pPr>
            <w:r>
              <w:t xml:space="preserve">Strong overlap</w:t>
            </w:r>
          </w:p>
        </w:tc>
      </w:tr>
      <w:tr>
        <w:tc>
          <w:tcPr/>
          <w:p>
            <w:pPr>
              <w:pStyle w:val="Compact"/>
            </w:pPr>
            <w:r>
              <w:t xml:space="preserve">SPPS</w:t>
            </w:r>
          </w:p>
        </w:tc>
        <w:tc>
          <w:tcPr/>
          <w:p>
            <w:pPr>
              <w:pStyle w:val="Compact"/>
            </w:pPr>
            <w:r>
              <w:t xml:space="preserve">Installed and expanding</w:t>
            </w:r>
          </w:p>
        </w:tc>
        <w:tc>
          <w:tcPr/>
          <w:p>
            <w:pPr>
              <w:pStyle w:val="Compact"/>
            </w:pPr>
            <w:r>
              <w:t xml:space="preserve">Relevant</w:t>
            </w:r>
          </w:p>
        </w:tc>
      </w:tr>
      <w:tr>
        <w:tc>
          <w:tcPr/>
          <w:p>
            <w:pPr>
              <w:pStyle w:val="Compact"/>
            </w:pPr>
            <w:r>
              <w:t xml:space="preserve">Fragment condensation</w:t>
            </w:r>
          </w:p>
        </w:tc>
        <w:tc>
          <w:tcPr/>
          <w:p>
            <w:pPr>
              <w:pStyle w:val="Compact"/>
            </w:pPr>
            <w:r>
              <w:t xml:space="preserve">Demonstrated</w:t>
            </w:r>
          </w:p>
        </w:tc>
        <w:tc>
          <w:tcPr/>
          <w:p>
            <w:pPr>
              <w:pStyle w:val="Compact"/>
            </w:pPr>
            <w:r>
              <w:t xml:space="preserve">Strong overlap</w:t>
            </w:r>
          </w:p>
        </w:tc>
      </w:tr>
      <w:tr>
        <w:tc>
          <w:tcPr/>
          <w:p>
            <w:pPr>
              <w:pStyle w:val="Compact"/>
            </w:pPr>
            <w:r>
              <w:t xml:space="preserve">Cyclic-peptide chemistry</w:t>
            </w:r>
          </w:p>
        </w:tc>
        <w:tc>
          <w:tcPr/>
          <w:p>
            <w:pPr>
              <w:pStyle w:val="Compact"/>
            </w:pPr>
            <w:r>
              <w:t xml:space="preserve">Demonstrated at development scale</w:t>
            </w:r>
          </w:p>
        </w:tc>
        <w:tc>
          <w:tcPr/>
          <w:p>
            <w:pPr>
              <w:pStyle w:val="Compact"/>
            </w:pPr>
            <w:r>
              <w:t xml:space="preserve">Relevant</w:t>
            </w:r>
          </w:p>
        </w:tc>
      </w:tr>
      <w:tr>
        <w:tc>
          <w:tcPr/>
          <w:p>
            <w:pPr>
              <w:pStyle w:val="Compact"/>
            </w:pPr>
            <w:r>
              <w:t xml:space="preserve">Non-natural amino acids</w:t>
            </w:r>
          </w:p>
        </w:tc>
        <w:tc>
          <w:tcPr/>
          <w:p>
            <w:pPr>
              <w:pStyle w:val="Compact"/>
            </w:pPr>
            <w:r>
              <w:t xml:space="preserve">Long-standing capability</w:t>
            </w:r>
          </w:p>
        </w:tc>
        <w:tc>
          <w:tcPr/>
          <w:p>
            <w:pPr>
              <w:pStyle w:val="Compact"/>
            </w:pPr>
            <w:r>
              <w:t xml:space="preserve">Strong overlap</w:t>
            </w:r>
          </w:p>
        </w:tc>
      </w:tr>
      <w:tr>
        <w:tc>
          <w:tcPr/>
          <w:p>
            <w:pPr>
              <w:pStyle w:val="Compact"/>
            </w:pPr>
            <w:r>
              <w:t xml:space="preserve">Chiral chemistry</w:t>
            </w:r>
          </w:p>
        </w:tc>
        <w:tc>
          <w:tcPr/>
          <w:p>
            <w:pPr>
              <w:pStyle w:val="Compact"/>
            </w:pPr>
            <w:r>
              <w:t xml:space="preserve">Commercially demonstrated</w:t>
            </w:r>
          </w:p>
        </w:tc>
        <w:tc>
          <w:tcPr/>
          <w:p>
            <w:pPr>
              <w:pStyle w:val="Compact"/>
            </w:pPr>
            <w:r>
              <w:t xml:space="preserve">Strong overlap</w:t>
            </w:r>
          </w:p>
        </w:tc>
      </w:tr>
      <w:tr>
        <w:tc>
          <w:tcPr/>
          <w:p>
            <w:pPr>
              <w:pStyle w:val="Compact"/>
            </w:pPr>
            <w:r>
              <w:t xml:space="preserve">Preparative chromatography</w:t>
            </w:r>
          </w:p>
        </w:tc>
        <w:tc>
          <w:tcPr/>
          <w:p>
            <w:pPr>
              <w:pStyle w:val="Compact"/>
            </w:pPr>
            <w:r>
              <w:t xml:space="preserve">Existing and expanding</w:t>
            </w:r>
          </w:p>
        </w:tc>
        <w:tc>
          <w:tcPr/>
          <w:p>
            <w:pPr>
              <w:pStyle w:val="Compact"/>
            </w:pPr>
            <w:r>
              <w:t xml:space="preserve">Relevant</w:t>
            </w:r>
          </w:p>
        </w:tc>
      </w:tr>
      <w:tr>
        <w:tc>
          <w:tcPr/>
          <w:p>
            <w:pPr>
              <w:pStyle w:val="Compact"/>
            </w:pPr>
            <w:r>
              <w:t xml:space="preserve">Lyophilisation</w:t>
            </w:r>
          </w:p>
        </w:tc>
        <w:tc>
          <w:tcPr/>
          <w:p>
            <w:pPr>
              <w:pStyle w:val="Compact"/>
            </w:pPr>
            <w:r>
              <w:t xml:space="preserve">Existing and expanding</w:t>
            </w:r>
          </w:p>
        </w:tc>
        <w:tc>
          <w:tcPr/>
          <w:p>
            <w:pPr>
              <w:pStyle w:val="Compact"/>
            </w:pPr>
            <w:r>
              <w:t xml:space="preserve">Relevant</w:t>
            </w:r>
          </w:p>
        </w:tc>
      </w:tr>
      <w:tr>
        <w:tc>
          <w:tcPr/>
          <w:p>
            <w:pPr>
              <w:pStyle w:val="Compact"/>
            </w:pPr>
            <w:r>
              <w:t xml:space="preserve">Biocatalysis</w:t>
            </w:r>
          </w:p>
        </w:tc>
        <w:tc>
          <w:tcPr/>
          <w:p>
            <w:pPr>
              <w:pStyle w:val="Compact"/>
            </w:pPr>
            <w:r>
              <w:t xml:space="preserve">General enzymatic capability disclosed</w:t>
            </w:r>
          </w:p>
        </w:tc>
        <w:tc>
          <w:tcPr/>
          <w:p>
            <w:pPr>
              <w:pStyle w:val="Compact"/>
            </w:pPr>
            <w:r>
              <w:t xml:space="preserve">Partial overlap</w:t>
            </w:r>
          </w:p>
        </w:tc>
      </w:tr>
      <w:tr>
        <w:tc>
          <w:tcPr/>
          <w:p>
            <w:pPr>
              <w:pStyle w:val="Compact"/>
            </w:pPr>
            <w:r>
              <w:t xml:space="preserve">Proprietary enzyme engineering</w:t>
            </w:r>
          </w:p>
        </w:tc>
        <w:tc>
          <w:tcPr/>
          <w:p>
            <w:pPr>
              <w:pStyle w:val="Compact"/>
            </w:pPr>
            <w:r>
              <w:t xml:space="preserve">Not demonstrated</w:t>
            </w:r>
          </w:p>
        </w:tc>
        <w:tc>
          <w:tcPr/>
          <w:p>
            <w:pPr>
              <w:pStyle w:val="Compact"/>
            </w:pPr>
            <w:r>
              <w:t xml:space="preserve">Material gap</w:t>
            </w:r>
          </w:p>
        </w:tc>
      </w:tr>
      <w:tr>
        <w:tc>
          <w:tcPr/>
          <w:p>
            <w:pPr>
              <w:pStyle w:val="Compact"/>
            </w:pPr>
            <w:r>
              <w:t xml:space="preserve">Commercial oral macrocycle track record</w:t>
            </w:r>
          </w:p>
        </w:tc>
        <w:tc>
          <w:tcPr/>
          <w:p>
            <w:pPr>
              <w:pStyle w:val="Compact"/>
            </w:pPr>
            <w:r>
              <w:t xml:space="preserve">Not demonstrated</w:t>
            </w:r>
          </w:p>
        </w:tc>
        <w:tc>
          <w:tcPr/>
          <w:p>
            <w:pPr>
              <w:pStyle w:val="Compact"/>
            </w:pPr>
            <w:r>
              <w:t xml:space="preserve">Material gap</w:t>
            </w:r>
          </w:p>
        </w:tc>
      </w:tr>
    </w:tbl>
    <w:bookmarkEnd w:id="26"/>
    <w:bookmarkStart w:id="27" w:name="implication-for-neuland-2"/>
    <w:p>
      <w:pPr>
        <w:pStyle w:val="Heading3"/>
      </w:pPr>
      <w:r>
        <w:t xml:space="preserve">Implication for Neuland</w:t>
      </w:r>
    </w:p>
    <w:p>
      <w:pPr>
        <w:pStyle w:val="FirstParagraph"/>
      </w:pPr>
      <w:r>
        <w:t xml:space="preserve">Enlicitide is important because it validates the commercial relevance of macrocyclic peptide chemistry, not because Neuland is confirmed as a supplier. Neuland could potentially participate in future programs through non-natural amino acids, protected fragments or chemically assembled macrocycles, but no enlicitide revenue should be included in forecasts.</w:t>
      </w:r>
    </w:p>
    <w:p>
      <w:r>
        <w:pict>
          <v:rect style="width:0;height:1.5pt" o:hralign="center" o:hrstd="t" o:hr="t"/>
        </w:pict>
      </w:r>
    </w:p>
    <w:bookmarkEnd w:id="27"/>
    <w:bookmarkEnd w:id="28"/>
    <w:bookmarkStart w:id="32" w:name="Xf9fbc92c32fafc2dddbbf271729dd081250a5eb"/>
    <w:p>
      <w:pPr>
        <w:pStyle w:val="Heading2"/>
      </w:pPr>
      <w:r>
        <w:t xml:space="preserve">4. Inclisiran: Why it should be analysed separately</w:t>
      </w:r>
    </w:p>
    <w:bookmarkStart w:id="29" w:name="direct-answer-2"/>
    <w:p>
      <w:pPr>
        <w:pStyle w:val="Heading3"/>
      </w:pPr>
      <w:r>
        <w:t xml:space="preserve">Direct answer</w:t>
      </w:r>
    </w:p>
    <w:p>
      <w:pPr>
        <w:pStyle w:val="FirstParagraph"/>
      </w:pPr>
      <w:r>
        <w:t xml:space="preserve">Inclisiran is not a peptide. It is a chemically modified, GalNAc-conjugated double-stranded siRNA marketed as Leqvio by Novartis.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Inclisiran</w:t>
            </w:r>
          </w:p>
        </w:tc>
      </w:tr>
      <w:tr>
        <w:tc>
          <w:tcPr/>
          <w:p>
            <w:pPr>
              <w:pStyle w:val="Compact"/>
            </w:pPr>
            <w:r>
              <w:t xml:space="preserve">Brand</w:t>
            </w:r>
          </w:p>
        </w:tc>
        <w:tc>
          <w:tcPr/>
          <w:p>
            <w:pPr>
              <w:pStyle w:val="Compact"/>
            </w:pPr>
            <w:r>
              <w:t xml:space="preserve">Leqvio</w:t>
            </w:r>
          </w:p>
        </w:tc>
      </w:tr>
      <w:tr>
        <w:tc>
          <w:tcPr/>
          <w:p>
            <w:pPr>
              <w:pStyle w:val="Compact"/>
            </w:pPr>
            <w:r>
              <w:t xml:space="preserve">Sponsor</w:t>
            </w:r>
          </w:p>
        </w:tc>
        <w:tc>
          <w:tcPr/>
          <w:p>
            <w:pPr>
              <w:pStyle w:val="Compact"/>
            </w:pPr>
            <w:r>
              <w:t xml:space="preserve">Novartis</w:t>
            </w:r>
          </w:p>
        </w:tc>
      </w:tr>
      <w:tr>
        <w:tc>
          <w:tcPr/>
          <w:p>
            <w:pPr>
              <w:pStyle w:val="Compact"/>
            </w:pPr>
            <w:r>
              <w:t xml:space="preserve">Modality</w:t>
            </w:r>
          </w:p>
        </w:tc>
        <w:tc>
          <w:tcPr/>
          <w:p>
            <w:pPr>
              <w:pStyle w:val="Compact"/>
            </w:pPr>
            <w:r>
              <w:t xml:space="preserve">GalNAc-conjugated siRNA</w:t>
            </w:r>
          </w:p>
        </w:tc>
      </w:tr>
      <w:tr>
        <w:tc>
          <w:tcPr/>
          <w:p>
            <w:pPr>
              <w:pStyle w:val="Compact"/>
            </w:pPr>
            <w:r>
              <w:t xml:space="preserve">Target</w:t>
            </w:r>
          </w:p>
        </w:tc>
        <w:tc>
          <w:tcPr/>
          <w:p>
            <w:pPr>
              <w:pStyle w:val="Compact"/>
            </w:pPr>
            <w:r>
              <w:t xml:space="preserve">PCSK9 messenger RNA</w:t>
            </w:r>
          </w:p>
        </w:tc>
      </w:tr>
      <w:tr>
        <w:tc>
          <w:tcPr/>
          <w:p>
            <w:pPr>
              <w:pStyle w:val="Compact"/>
            </w:pPr>
            <w:r>
              <w:t xml:space="preserve">Route</w:t>
            </w:r>
          </w:p>
        </w:tc>
        <w:tc>
          <w:tcPr/>
          <w:p>
            <w:pPr>
              <w:pStyle w:val="Compact"/>
            </w:pPr>
            <w:r>
              <w:t xml:space="preserve">Subcutaneous injection</w:t>
            </w:r>
          </w:p>
        </w:tc>
      </w:tr>
      <w:tr>
        <w:tc>
          <w:tcPr/>
          <w:p>
            <w:pPr>
              <w:pStyle w:val="Compact"/>
            </w:pPr>
            <w:r>
              <w:t xml:space="preserve">Frequency</w:t>
            </w:r>
          </w:p>
        </w:tc>
        <w:tc>
          <w:tcPr/>
          <w:p>
            <w:pPr>
              <w:pStyle w:val="Compact"/>
            </w:pPr>
            <w:r>
              <w:t xml:space="preserve">Initial dose, three months, then every six months</w:t>
            </w:r>
          </w:p>
        </w:tc>
      </w:tr>
      <w:tr>
        <w:tc>
          <w:tcPr/>
          <w:p>
            <w:pPr>
              <w:pStyle w:val="Compact"/>
            </w:pPr>
            <w:r>
              <w:t xml:space="preserve">LDL-C reduction</w:t>
            </w:r>
          </w:p>
        </w:tc>
        <w:tc>
          <w:tcPr/>
          <w:p>
            <w:pPr>
              <w:pStyle w:val="Compact"/>
            </w:pPr>
            <w:r>
              <w:t xml:space="preserve">Approximately 50%</w:t>
            </w:r>
          </w:p>
        </w:tc>
      </w:tr>
      <w:tr>
        <w:tc>
          <w:tcPr/>
          <w:p>
            <w:pPr>
              <w:pStyle w:val="Compact"/>
            </w:pPr>
            <w:r>
              <w:t xml:space="preserve">Neuland role</w:t>
            </w:r>
          </w:p>
        </w:tc>
        <w:tc>
          <w:tcPr/>
          <w:p>
            <w:pPr>
              <w:pStyle w:val="Compact"/>
            </w:pPr>
            <w:r>
              <w:t xml:space="preserve">None identified</w:t>
            </w:r>
          </w:p>
        </w:tc>
      </w:tr>
    </w:tbl>
    <w:p>
      <w:pPr>
        <w:pStyle w:val="BodyText"/>
      </w:pPr>
      <w:r>
        <w:t xml:space="preserve">Manufacture requires:</w:t>
      </w:r>
    </w:p>
    <w:p>
      <w:pPr>
        <w:pStyle w:val="Compact"/>
        <w:numPr>
          <w:ilvl w:val="0"/>
          <w:numId w:val="1004"/>
        </w:numPr>
      </w:pPr>
      <w:r>
        <w:t xml:space="preserve">Nucleoside phosphoramidites.</w:t>
      </w:r>
    </w:p>
    <w:p>
      <w:pPr>
        <w:pStyle w:val="Compact"/>
        <w:numPr>
          <w:ilvl w:val="0"/>
          <w:numId w:val="1004"/>
        </w:numPr>
      </w:pPr>
      <w:r>
        <w:t xml:space="preserve">Solid-phase oligonucleotide synthesis.</w:t>
      </w:r>
    </w:p>
    <w:p>
      <w:pPr>
        <w:pStyle w:val="Compact"/>
        <w:numPr>
          <w:ilvl w:val="0"/>
          <w:numId w:val="1004"/>
        </w:numPr>
      </w:pPr>
      <w:r>
        <w:t xml:space="preserve">Separate sense- and antisense-strand production.</w:t>
      </w:r>
    </w:p>
    <w:p>
      <w:pPr>
        <w:pStyle w:val="Compact"/>
        <w:numPr>
          <w:ilvl w:val="0"/>
          <w:numId w:val="1004"/>
        </w:numPr>
      </w:pPr>
      <w:r>
        <w:t xml:space="preserve">GalNAc conjugation.</w:t>
      </w:r>
    </w:p>
    <w:p>
      <w:pPr>
        <w:pStyle w:val="Compact"/>
        <w:numPr>
          <w:ilvl w:val="0"/>
          <w:numId w:val="1004"/>
        </w:numPr>
      </w:pPr>
      <w:r>
        <w:t xml:space="preserve">Oligonucleotide purification.</w:t>
      </w:r>
    </w:p>
    <w:p>
      <w:pPr>
        <w:pStyle w:val="Compact"/>
        <w:numPr>
          <w:ilvl w:val="0"/>
          <w:numId w:val="1004"/>
        </w:numPr>
      </w:pPr>
      <w:r>
        <w:t xml:space="preserve">Duplex formation and annealing.</w:t>
      </w:r>
    </w:p>
    <w:p>
      <w:pPr>
        <w:pStyle w:val="Compact"/>
        <w:numPr>
          <w:ilvl w:val="0"/>
          <w:numId w:val="1004"/>
        </w:numPr>
      </w:pPr>
      <w:r>
        <w:t xml:space="preserve">Sterile injectable formulation and fill-finish.</w:t>
      </w:r>
    </w:p>
    <w:bookmarkEnd w:id="29"/>
    <w:bookmarkStart w:id="30" w:name="neuland-capability-assessment"/>
    <w:p>
      <w:pPr>
        <w:pStyle w:val="Heading3"/>
      </w:pPr>
      <w:r>
        <w:t xml:space="preserve">Neuland capability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Required capability</w:t>
            </w:r>
          </w:p>
        </w:tc>
        <w:tc>
          <w:tcPr/>
          <w:p>
            <w:pPr>
              <w:pStyle w:val="Compact"/>
            </w:pPr>
            <w:r>
              <w:t xml:space="preserve">Demonstrated by Neuland?</w:t>
            </w:r>
          </w:p>
        </w:tc>
      </w:tr>
      <w:tr>
        <w:tc>
          <w:tcPr/>
          <w:p>
            <w:pPr>
              <w:pStyle w:val="Compact"/>
            </w:pPr>
            <w:r>
              <w:t xml:space="preserve">Phosphoramidite chemistry</w:t>
            </w:r>
          </w:p>
        </w:tc>
        <w:tc>
          <w:tcPr/>
          <w:p>
            <w:pPr>
              <w:pStyle w:val="Compact"/>
            </w:pPr>
            <w:r>
              <w:t xml:space="preserve">No</w:t>
            </w:r>
          </w:p>
        </w:tc>
      </w:tr>
      <w:tr>
        <w:tc>
          <w:tcPr/>
          <w:p>
            <w:pPr>
              <w:pStyle w:val="Compact"/>
            </w:pPr>
            <w:r>
              <w:t xml:space="preserve">Oligonucleotide synthesis</w:t>
            </w:r>
          </w:p>
        </w:tc>
        <w:tc>
          <w:tcPr/>
          <w:p>
            <w:pPr>
              <w:pStyle w:val="Compact"/>
            </w:pPr>
            <w:r>
              <w:t xml:space="preserve">No</w:t>
            </w:r>
          </w:p>
        </w:tc>
      </w:tr>
      <w:tr>
        <w:tc>
          <w:tcPr/>
          <w:p>
            <w:pPr>
              <w:pStyle w:val="Compact"/>
            </w:pPr>
            <w:r>
              <w:t xml:space="preserve">GalNAc conjugation</w:t>
            </w:r>
          </w:p>
        </w:tc>
        <w:tc>
          <w:tcPr/>
          <w:p>
            <w:pPr>
              <w:pStyle w:val="Compact"/>
            </w:pPr>
            <w:r>
              <w:t xml:space="preserve">No</w:t>
            </w:r>
          </w:p>
        </w:tc>
      </w:tr>
      <w:tr>
        <w:tc>
          <w:tcPr/>
          <w:p>
            <w:pPr>
              <w:pStyle w:val="Compact"/>
            </w:pPr>
            <w:r>
              <w:t xml:space="preserve">siRNA duplex manufacture</w:t>
            </w:r>
          </w:p>
        </w:tc>
        <w:tc>
          <w:tcPr/>
          <w:p>
            <w:pPr>
              <w:pStyle w:val="Compact"/>
            </w:pPr>
            <w:r>
              <w:t xml:space="preserve">No</w:t>
            </w:r>
          </w:p>
        </w:tc>
      </w:tr>
      <w:tr>
        <w:tc>
          <w:tcPr/>
          <w:p>
            <w:pPr>
              <w:pStyle w:val="Compact"/>
            </w:pPr>
            <w:r>
              <w:t xml:space="preserve">Oligonucleotide purification</w:t>
            </w:r>
          </w:p>
        </w:tc>
        <w:tc>
          <w:tcPr/>
          <w:p>
            <w:pPr>
              <w:pStyle w:val="Compact"/>
            </w:pPr>
            <w:r>
              <w:t xml:space="preserve">No</w:t>
            </w:r>
          </w:p>
        </w:tc>
      </w:tr>
      <w:tr>
        <w:tc>
          <w:tcPr/>
          <w:p>
            <w:pPr>
              <w:pStyle w:val="Compact"/>
            </w:pPr>
            <w:r>
              <w:t xml:space="preserve">Sterile fill-finish</w:t>
            </w:r>
          </w:p>
        </w:tc>
        <w:tc>
          <w:tcPr/>
          <w:p>
            <w:pPr>
              <w:pStyle w:val="Compact"/>
            </w:pPr>
            <w:r>
              <w:t xml:space="preserve">No</w:t>
            </w:r>
          </w:p>
        </w:tc>
      </w:tr>
      <w:tr>
        <w:tc>
          <w:tcPr/>
          <w:p>
            <w:pPr>
              <w:pStyle w:val="Compact"/>
            </w:pPr>
            <w:r>
              <w:t xml:space="preserve">General chiral and process chemistry</w:t>
            </w:r>
          </w:p>
        </w:tc>
        <w:tc>
          <w:tcPr/>
          <w:p>
            <w:pPr>
              <w:pStyle w:val="Compact"/>
            </w:pPr>
            <w:r>
              <w:t xml:space="preserve">Yes, but insufficient</w:t>
            </w:r>
          </w:p>
        </w:tc>
      </w:tr>
    </w:tbl>
    <w:bookmarkEnd w:id="30"/>
    <w:bookmarkStart w:id="31" w:name="implication-for-neuland-3"/>
    <w:p>
      <w:pPr>
        <w:pStyle w:val="Heading3"/>
      </w:pPr>
      <w:r>
        <w:t xml:space="preserve">Implication for Neuland</w:t>
      </w:r>
    </w:p>
    <w:p>
      <w:pPr>
        <w:pStyle w:val="FirstParagraph"/>
      </w:pPr>
      <w:r>
        <w:t xml:space="preserve">Inclisiran is a therapeutic-market comparator and a competitor to bempedoic acid, not a direct Neuland manufacturing opportunity. It should not be used as evidence of peptide or oligonucleotide optionality for Neuland.</w:t>
      </w:r>
    </w:p>
    <w:p>
      <w:r>
        <w:pict>
          <v:rect style="width:0;height:1.5pt" o:hralign="center" o:hrstd="t" o:hr="t"/>
        </w:pict>
      </w:r>
    </w:p>
    <w:bookmarkEnd w:id="31"/>
    <w:bookmarkEnd w:id="32"/>
    <w:bookmarkStart w:id="36" w:name="Xa614fc74b13ce78f68fe2366f2389db3739187c"/>
    <w:p>
      <w:pPr>
        <w:pStyle w:val="Heading2"/>
      </w:pPr>
      <w:r>
        <w:t xml:space="preserve">5. What Neuland’s peptide expansion actually means</w:t>
      </w:r>
    </w:p>
    <w:p>
      <w:pPr>
        <w:pStyle w:val="FirstParagraph"/>
      </w:pPr>
      <w:r>
        <w:t xml:space="preserve">Neuland is evolving from a predominantly small-molecule API manufacturer into a</w:t>
      </w:r>
      <w:r>
        <w:t xml:space="preserve"> </w:t>
      </w:r>
      <w:r>
        <w:rPr>
          <w:b/>
          <w:bCs/>
        </w:rPr>
        <w:t xml:space="preserve">hybrid small-molecule and peptide CDMO</w:t>
      </w:r>
      <w:r>
        <w:t xml:space="preserve">.</w:t>
      </w:r>
    </w:p>
    <w:p>
      <w:pPr>
        <w:pStyle w:val="BodyText"/>
      </w:pPr>
      <w:r>
        <w:t xml:space="preserve">The company has disclosed:</w:t>
      </w:r>
    </w:p>
    <w:p>
      <w:pPr>
        <w:pStyle w:val="Compact"/>
        <w:numPr>
          <w:ilvl w:val="0"/>
          <w:numId w:val="1005"/>
        </w:numPr>
      </w:pPr>
      <w:r>
        <w:t xml:space="preserve">Approximately 8–10 peptide programs.</w:t>
      </w:r>
    </w:p>
    <w:p>
      <w:pPr>
        <w:pStyle w:val="Compact"/>
        <w:numPr>
          <w:ilvl w:val="0"/>
          <w:numId w:val="1005"/>
        </w:numPr>
      </w:pPr>
      <w:r>
        <w:t xml:space="preserve">A Difelikefalin DMF filing.</w:t>
      </w:r>
    </w:p>
    <w:p>
      <w:pPr>
        <w:pStyle w:val="Compact"/>
        <w:numPr>
          <w:ilvl w:val="0"/>
          <w:numId w:val="1005"/>
        </w:numPr>
      </w:pPr>
      <w:r>
        <w:t xml:space="preserve">Long-standing work in peptide fragments and non-natural amino acids.</w:t>
      </w:r>
    </w:p>
    <w:p>
      <w:pPr>
        <w:pStyle w:val="Compact"/>
        <w:numPr>
          <w:ilvl w:val="0"/>
          <w:numId w:val="1005"/>
        </w:numPr>
      </w:pPr>
      <w:r>
        <w:t xml:space="preserve">SPPS, LPPS and hybrid synthesis.</w:t>
      </w:r>
    </w:p>
    <w:p>
      <w:pPr>
        <w:pStyle w:val="Compact"/>
        <w:numPr>
          <w:ilvl w:val="0"/>
          <w:numId w:val="1005"/>
        </w:numPr>
      </w:pPr>
      <w:r>
        <w:t xml:space="preserve">Cyclic-peptide development capability.</w:t>
      </w:r>
    </w:p>
    <w:p>
      <w:pPr>
        <w:pStyle w:val="Compact"/>
        <w:numPr>
          <w:ilvl w:val="0"/>
          <w:numId w:val="1005"/>
        </w:numPr>
      </w:pPr>
      <w:r>
        <w:t xml:space="preserve">New preparative chromatography, TFF, ion exchange and lyophilisation capacity.</w:t>
      </w:r>
    </w:p>
    <w:p>
      <w:pPr>
        <w:pStyle w:val="Compact"/>
        <w:numPr>
          <w:ilvl w:val="0"/>
          <w:numId w:val="1005"/>
        </w:numPr>
      </w:pPr>
      <w:r>
        <w:t xml:space="preserve">A new peptide facility designed for production from tens of kilograms to more than 100kg annually. (</w:t>
      </w:r>
      <w:hyperlink r:id="rId33">
        <w:r>
          <w:rPr>
            <w:rStyle w:val="Hyperlink"/>
          </w:rPr>
          <w:t xml:space="preserve">neulandlabs.com</w:t>
        </w:r>
      </w:hyperlink>
      <w:r>
        <w:t xml:space="preserve">)</w:t>
      </w:r>
    </w:p>
    <w:bookmarkStart w:id="34" w:name="where-neuland-sits-today"/>
    <w:p>
      <w:pPr>
        <w:pStyle w:val="Heading3"/>
      </w:pPr>
      <w:r>
        <w:t xml:space="preserve">Where Neuland sits today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Strategic position</w:t>
            </w:r>
          </w:p>
        </w:tc>
        <w:tc>
          <w:tcPr/>
          <w:p>
            <w:pPr>
              <w:pStyle w:val="Compact"/>
            </w:pPr>
            <w:r>
              <w:t xml:space="preserve">Assessment</w:t>
            </w:r>
          </w:p>
        </w:tc>
      </w:tr>
      <w:tr>
        <w:tc>
          <w:tcPr/>
          <w:p>
            <w:pPr>
              <w:pStyle w:val="Compact"/>
            </w:pPr>
            <w:r>
              <w:t xml:space="preserve">Conventional API company with a small peptide lab</w:t>
            </w:r>
          </w:p>
        </w:tc>
        <w:tc>
          <w:tcPr/>
          <w:p>
            <w:pPr>
              <w:pStyle w:val="Compact"/>
            </w:pPr>
            <w:r>
              <w:t xml:space="preserve">No longer accurate</w:t>
            </w:r>
          </w:p>
        </w:tc>
      </w:tr>
      <w:tr>
        <w:tc>
          <w:tcPr/>
          <w:p>
            <w:pPr>
              <w:pStyle w:val="Compact"/>
            </w:pPr>
            <w:r>
              <w:t xml:space="preserve">Credible emerging commercial-scale peptide CDMO</w:t>
            </w:r>
          </w:p>
        </w:tc>
        <w:tc>
          <w:tcPr/>
          <w:p>
            <w:pPr>
              <w:pStyle w:val="Compact"/>
            </w:pPr>
            <w:r>
              <w:t xml:space="preserve">Yes</w:t>
            </w:r>
          </w:p>
        </w:tc>
      </w:tr>
      <w:tr>
        <w:tc>
          <w:tcPr/>
          <w:p>
            <w:pPr>
              <w:pStyle w:val="Compact"/>
            </w:pPr>
            <w:r>
              <w:t xml:space="preserve">Differentiated hybrid small-molecule and peptide manufacturer</w:t>
            </w:r>
          </w:p>
        </w:tc>
        <w:tc>
          <w:tcPr/>
          <w:p>
            <w:pPr>
              <w:pStyle w:val="Compact"/>
            </w:pPr>
            <w:r>
              <w:t xml:space="preserve">Yes</w:t>
            </w:r>
          </w:p>
        </w:tc>
      </w:tr>
      <w:tr>
        <w:tc>
          <w:tcPr/>
          <w:p>
            <w:pPr>
              <w:pStyle w:val="Compact"/>
            </w:pPr>
            <w:r>
              <w:t xml:space="preserve">Proven global macrocyclic-peptide leader</w:t>
            </w:r>
          </w:p>
        </w:tc>
        <w:tc>
          <w:tcPr/>
          <w:p>
            <w:pPr>
              <w:pStyle w:val="Compact"/>
            </w:pPr>
            <w:r>
              <w:t xml:space="preserve">Not yet</w:t>
            </w:r>
          </w:p>
        </w:tc>
      </w:tr>
      <w:tr>
        <w:tc>
          <w:tcPr/>
          <w:p>
            <w:pPr>
              <w:pStyle w:val="Compact"/>
            </w:pPr>
            <w:r>
              <w:t xml:space="preserve">Commercial oligonucleotide player</w:t>
            </w:r>
          </w:p>
        </w:tc>
        <w:tc>
          <w:tcPr/>
          <w:p>
            <w:pPr>
              <w:pStyle w:val="Compact"/>
            </w:pPr>
            <w:r>
              <w:t xml:space="preserve">No</w:t>
            </w:r>
          </w:p>
        </w:tc>
      </w:tr>
    </w:tbl>
    <w:p>
      <w:pPr>
        <w:pStyle w:val="BodyText"/>
      </w:pPr>
      <w:r>
        <w:t xml:space="preserve">The technical platform is credible. The remaining issue is commercial proof.</w:t>
      </w:r>
    </w:p>
    <w:p>
      <w:pPr>
        <w:pStyle w:val="BodyText"/>
      </w:pPr>
      <w:r>
        <w:t xml:space="preserve">For peptides to become material, Neuland needs:</w:t>
      </w:r>
    </w:p>
    <w:p>
      <w:pPr>
        <w:pStyle w:val="Compact"/>
        <w:numPr>
          <w:ilvl w:val="0"/>
          <w:numId w:val="1006"/>
        </w:numPr>
      </w:pPr>
      <w:r>
        <w:t xml:space="preserve">Customer qualification of the new facility.</w:t>
      </w:r>
    </w:p>
    <w:p>
      <w:pPr>
        <w:pStyle w:val="Compact"/>
        <w:numPr>
          <w:ilvl w:val="0"/>
          <w:numId w:val="1006"/>
        </w:numPr>
      </w:pPr>
      <w:r>
        <w:t xml:space="preserve">Successful technology transfers and PPQ campaigns.</w:t>
      </w:r>
    </w:p>
    <w:p>
      <w:pPr>
        <w:pStyle w:val="Compact"/>
        <w:numPr>
          <w:ilvl w:val="0"/>
          <w:numId w:val="1006"/>
        </w:numPr>
      </w:pPr>
      <w:r>
        <w:t xml:space="preserve">At least two or three recurring commercial peptide products.</w:t>
      </w:r>
    </w:p>
    <w:p>
      <w:pPr>
        <w:pStyle w:val="Compact"/>
        <w:numPr>
          <w:ilvl w:val="0"/>
          <w:numId w:val="1006"/>
        </w:numPr>
      </w:pPr>
      <w:r>
        <w:t xml:space="preserve">Sufficient plant utilisation to absorb fixed quality and purification costs.</w:t>
      </w:r>
    </w:p>
    <w:p>
      <w:pPr>
        <w:pStyle w:val="Compact"/>
        <w:numPr>
          <w:ilvl w:val="0"/>
          <w:numId w:val="1006"/>
        </w:numPr>
      </w:pPr>
      <w:r>
        <w:t xml:space="preserve">Further module expansion backed by customer demand.</w:t>
      </w:r>
    </w:p>
    <w:bookmarkEnd w:id="34"/>
    <w:bookmarkStart w:id="35" w:name="earnings-timeline"/>
    <w:p>
      <w:pPr>
        <w:pStyle w:val="Heading3"/>
      </w:pPr>
      <w:r>
        <w:t xml:space="preserve">Earnings 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pPr>
            <w:r>
              <w:t xml:space="preserve">Likely contribution</w:t>
            </w:r>
          </w:p>
        </w:tc>
      </w:tr>
      <w:tr>
        <w:tc>
          <w:tcPr/>
          <w:p>
            <w:pPr>
              <w:pStyle w:val="Compact"/>
            </w:pPr>
            <w:r>
              <w:t xml:space="preserve">FY27–FY28</w:t>
            </w:r>
          </w:p>
        </w:tc>
        <w:tc>
          <w:tcPr/>
          <w:p>
            <w:pPr>
              <w:pStyle w:val="Compact"/>
            </w:pPr>
            <w:r>
              <w:t xml:space="preserve">Qualification, development batches, technology transfers and initial PPQ revenue</w:t>
            </w:r>
          </w:p>
        </w:tc>
      </w:tr>
      <w:tr>
        <w:tc>
          <w:tcPr/>
          <w:p>
            <w:pPr>
              <w:pStyle w:val="Compact"/>
            </w:pPr>
            <w:r>
              <w:t xml:space="preserve">FY29–FY31</w:t>
            </w:r>
          </w:p>
        </w:tc>
        <w:tc>
          <w:tcPr/>
          <w:p>
            <w:pPr>
              <w:pStyle w:val="Compact"/>
            </w:pPr>
            <w:r>
              <w:t xml:space="preserve">Potential commercial ramp if advanced projects convert</w:t>
            </w:r>
          </w:p>
        </w:tc>
      </w:tr>
      <w:tr>
        <w:tc>
          <w:tcPr/>
          <w:p>
            <w:pPr>
              <w:pStyle w:val="Compact"/>
            </w:pPr>
            <w:r>
              <w:t xml:space="preserve">FY32 onward</w:t>
            </w:r>
          </w:p>
        </w:tc>
        <w:tc>
          <w:tcPr/>
          <w:p>
            <w:pPr>
              <w:pStyle w:val="Compact"/>
            </w:pPr>
            <w:r>
              <w:t xml:space="preserve">Larger opportunity in cyclic and next-generation peptides, subject to execution</w:t>
            </w:r>
          </w:p>
        </w:tc>
      </w:tr>
    </w:tbl>
    <w:p>
      <w:pPr>
        <w:pStyle w:val="BodyText"/>
      </w:pPr>
      <w:r>
        <w:t xml:space="preserve">Initial peptide margins may be below group averages because depreciation, staffing, quality and analytical costs will precede mature utilisation. Margin accretion should occur only when recurring commercial campaigns improve asset absorption.</w:t>
      </w:r>
    </w:p>
    <w:p>
      <w:r>
        <w:pict>
          <v:rect style="width:0;height:1.5pt" o:hralign="center" o:hrstd="t" o:hr="t"/>
        </w:pict>
      </w:r>
    </w:p>
    <w:bookmarkEnd w:id="35"/>
    <w:bookmarkEnd w:id="36"/>
    <w:bookmarkStart w:id="40" w:name="investment-read-through"/>
    <w:p>
      <w:pPr>
        <w:pStyle w:val="Heading2"/>
      </w:pPr>
      <w:r>
        <w:t xml:space="preserve">6. Investment read-through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Molecule or capability</w:t>
            </w:r>
          </w:p>
        </w:tc>
        <w:tc>
          <w:tcPr/>
          <w:p>
            <w:pPr>
              <w:pStyle w:val="Compact"/>
            </w:pPr>
            <w:r>
              <w:t xml:space="preserve">Investment treatment</w:t>
            </w:r>
          </w:p>
        </w:tc>
      </w:tr>
      <w:tr>
        <w:tc>
          <w:tcPr/>
          <w:p>
            <w:pPr>
              <w:pStyle w:val="Compact"/>
            </w:pPr>
            <w:r>
              <w:t xml:space="preserve">In current earnings</w:t>
            </w:r>
          </w:p>
        </w:tc>
        <w:tc>
          <w:tcPr/>
          <w:p>
            <w:pPr>
              <w:pStyle w:val="Compact"/>
            </w:pPr>
            <w:r>
              <w:t xml:space="preserve">Bempedoic acid and other commercial CMS products</w:t>
            </w:r>
          </w:p>
        </w:tc>
        <w:tc>
          <w:tcPr/>
          <w:p>
            <w:pPr>
              <w:pStyle w:val="Compact"/>
            </w:pPr>
            <w:r>
              <w:t xml:space="preserve">Include in estimates</w:t>
            </w:r>
          </w:p>
        </w:tc>
      </w:tr>
      <w:tr>
        <w:tc>
          <w:tcPr/>
          <w:p>
            <w:pPr>
              <w:pStyle w:val="Compact"/>
            </w:pPr>
            <w:r>
              <w:t xml:space="preserve">Visible but not material</w:t>
            </w:r>
          </w:p>
        </w:tc>
        <w:tc>
          <w:tcPr/>
          <w:p>
            <w:pPr>
              <w:pStyle w:val="Compact"/>
            </w:pPr>
            <w:r>
              <w:t xml:space="preserve">New peptide facility and existing development pipeline</w:t>
            </w:r>
          </w:p>
        </w:tc>
        <w:tc>
          <w:tcPr/>
          <w:p>
            <w:pPr>
              <w:pStyle w:val="Compact"/>
            </w:pPr>
            <w:r>
              <w:t xml:space="preserve">Monitor project conversion</w:t>
            </w:r>
          </w:p>
        </w:tc>
      </w:tr>
      <w:tr>
        <w:tc>
          <w:tcPr/>
          <w:p>
            <w:pPr>
              <w:pStyle w:val="Compact"/>
            </w:pPr>
            <w:r>
              <w:t xml:space="preserve">Genuine optionality</w:t>
            </w:r>
          </w:p>
        </w:tc>
        <w:tc>
          <w:tcPr/>
          <w:p>
            <w:pPr>
              <w:pStyle w:val="Compact"/>
            </w:pPr>
            <w:r>
              <w:t xml:space="preserve">Cyclic peptides, non-natural amino acids and complex fragment supply</w:t>
            </w:r>
          </w:p>
        </w:tc>
        <w:tc>
          <w:tcPr/>
          <w:p>
            <w:pPr>
              <w:pStyle w:val="Compact"/>
            </w:pPr>
            <w:r>
              <w:t xml:space="preserve">Potential medium-term upside</w:t>
            </w:r>
          </w:p>
        </w:tc>
      </w:tr>
      <w:tr>
        <w:tc>
          <w:tcPr/>
          <w:p>
            <w:pPr>
              <w:pStyle w:val="Compact"/>
            </w:pPr>
            <w:r>
              <w:t xml:space="preserve">Speculative</w:t>
            </w:r>
          </w:p>
        </w:tc>
        <w:tc>
          <w:tcPr/>
          <w:p>
            <w:pPr>
              <w:pStyle w:val="Compact"/>
            </w:pPr>
            <w:r>
              <w:t xml:space="preserve">Neuland participation in enlicitide</w:t>
            </w:r>
          </w:p>
        </w:tc>
        <w:tc>
          <w:tcPr/>
          <w:p>
            <w:pPr>
              <w:pStyle w:val="Compact"/>
            </w:pPr>
            <w:r>
              <w:t xml:space="preserve">Exclude from forecasts</w:t>
            </w:r>
          </w:p>
        </w:tc>
      </w:tr>
      <w:tr>
        <w:tc>
          <w:tcPr/>
          <w:p>
            <w:pPr>
              <w:pStyle w:val="Compact"/>
            </w:pPr>
            <w:r>
              <w:t xml:space="preserve">Outside capability set</w:t>
            </w:r>
          </w:p>
        </w:tc>
        <w:tc>
          <w:tcPr/>
          <w:p>
            <w:pPr>
              <w:pStyle w:val="Compact"/>
            </w:pPr>
            <w:r>
              <w:t xml:space="preserve">Inclisiran and broader siRNA manufacture</w:t>
            </w:r>
          </w:p>
        </w:tc>
        <w:tc>
          <w:tcPr/>
          <w:p>
            <w:pPr>
              <w:pStyle w:val="Compact"/>
            </w:pPr>
            <w:r>
              <w:t xml:space="preserve">No positive read-through</w:t>
            </w:r>
          </w:p>
        </w:tc>
      </w:tr>
    </w:tbl>
    <w:bookmarkStart w:id="37" w:name="what-matters-most"/>
    <w:p>
      <w:pPr>
        <w:pStyle w:val="Heading3"/>
      </w:pPr>
      <w:r>
        <w:t xml:space="preserve">What matters most</w:t>
      </w:r>
    </w:p>
    <w:p>
      <w:pPr>
        <w:pStyle w:val="FirstParagraph"/>
      </w:pPr>
      <w:r>
        <w:rPr>
          <w:b/>
          <w:bCs/>
        </w:rPr>
        <w:t xml:space="preserve">Near term: FY27–FY28</w:t>
      </w:r>
    </w:p>
    <w:p>
      <w:pPr>
        <w:pStyle w:val="Compact"/>
        <w:numPr>
          <w:ilvl w:val="0"/>
          <w:numId w:val="1007"/>
        </w:numPr>
      </w:pPr>
      <w:r>
        <w:t xml:space="preserve">Bempedoic API demand and Neuland’s source share.</w:t>
      </w:r>
    </w:p>
    <w:p>
      <w:pPr>
        <w:pStyle w:val="Compact"/>
        <w:numPr>
          <w:ilvl w:val="0"/>
          <w:numId w:val="1007"/>
        </w:numPr>
      </w:pPr>
      <w:r>
        <w:t xml:space="preserve">Customer inventory and campaign timing.</w:t>
      </w:r>
    </w:p>
    <w:p>
      <w:pPr>
        <w:pStyle w:val="Compact"/>
        <w:numPr>
          <w:ilvl w:val="0"/>
          <w:numId w:val="1007"/>
        </w:numPr>
      </w:pPr>
      <w:r>
        <w:t xml:space="preserve">Commissioning and qualification of peptide capacity.</w:t>
      </w:r>
    </w:p>
    <w:p>
      <w:pPr>
        <w:pStyle w:val="Compact"/>
        <w:numPr>
          <w:ilvl w:val="0"/>
          <w:numId w:val="1007"/>
        </w:numPr>
      </w:pPr>
      <w:r>
        <w:t xml:space="preserve">Initial development and validation revenues.</w:t>
      </w:r>
    </w:p>
    <w:p>
      <w:pPr>
        <w:pStyle w:val="FirstParagraph"/>
      </w:pPr>
      <w:r>
        <w:rPr>
          <w:b/>
          <w:bCs/>
        </w:rPr>
        <w:t xml:space="preserve">Medium term: FY29–FY31</w:t>
      </w:r>
    </w:p>
    <w:p>
      <w:pPr>
        <w:pStyle w:val="Compact"/>
        <w:numPr>
          <w:ilvl w:val="0"/>
          <w:numId w:val="1008"/>
        </w:numPr>
      </w:pPr>
      <w:r>
        <w:t xml:space="preserve">Conversion of peptide projects into commercial supply.</w:t>
      </w:r>
    </w:p>
    <w:p>
      <w:pPr>
        <w:pStyle w:val="Compact"/>
        <w:numPr>
          <w:ilvl w:val="0"/>
          <w:numId w:val="1008"/>
        </w:numPr>
      </w:pPr>
      <w:r>
        <w:t xml:space="preserve">Facility utilisation and gross-margin development.</w:t>
      </w:r>
    </w:p>
    <w:p>
      <w:pPr>
        <w:pStyle w:val="Compact"/>
        <w:numPr>
          <w:ilvl w:val="0"/>
          <w:numId w:val="1008"/>
        </w:numPr>
      </w:pPr>
      <w:r>
        <w:t xml:space="preserve">Additional customer wins.</w:t>
      </w:r>
    </w:p>
    <w:p>
      <w:pPr>
        <w:pStyle w:val="Compact"/>
        <w:numPr>
          <w:ilvl w:val="0"/>
          <w:numId w:val="1008"/>
        </w:numPr>
      </w:pPr>
      <w:r>
        <w:t xml:space="preserve">Evidence of cyclic-peptide manufacture at meaningful GMP scale.</w:t>
      </w:r>
    </w:p>
    <w:p>
      <w:pPr>
        <w:pStyle w:val="FirstParagraph"/>
      </w:pPr>
      <w:r>
        <w:rPr>
          <w:b/>
          <w:bCs/>
        </w:rPr>
        <w:t xml:space="preserve">Long term</w:t>
      </w:r>
    </w:p>
    <w:p>
      <w:pPr>
        <w:pStyle w:val="Compact"/>
        <w:numPr>
          <w:ilvl w:val="0"/>
          <w:numId w:val="1009"/>
        </w:numPr>
      </w:pPr>
      <w:r>
        <w:t xml:space="preserve">Whether Neuland can build a defensible position in complex peptides.</w:t>
      </w:r>
    </w:p>
    <w:p>
      <w:pPr>
        <w:pStyle w:val="Compact"/>
        <w:numPr>
          <w:ilvl w:val="0"/>
          <w:numId w:val="1009"/>
        </w:numPr>
      </w:pPr>
      <w:r>
        <w:t xml:space="preserve">Whether its process-chemistry heritage creates differentiated yields and economics.</w:t>
      </w:r>
    </w:p>
    <w:p>
      <w:pPr>
        <w:pStyle w:val="Compact"/>
        <w:numPr>
          <w:ilvl w:val="0"/>
          <w:numId w:val="1009"/>
        </w:numPr>
      </w:pPr>
      <w:r>
        <w:t xml:space="preserve">Whether customers commit further capacity and long-duration contracts.</w:t>
      </w:r>
    </w:p>
    <w:p>
      <w:pPr>
        <w:pStyle w:val="Compact"/>
        <w:numPr>
          <w:ilvl w:val="0"/>
          <w:numId w:val="1009"/>
        </w:numPr>
      </w:pPr>
      <w:r>
        <w:t xml:space="preserve">Whether peptide returns exceed the company’s cost of capital.</w:t>
      </w:r>
    </w:p>
    <w:bookmarkEnd w:id="37"/>
    <w:bookmarkStart w:id="38" w:name="final-assessment"/>
    <w:p>
      <w:pPr>
        <w:pStyle w:val="Heading3"/>
      </w:pPr>
      <w:r>
        <w:t xml:space="preserve">Final assessment</w:t>
      </w:r>
    </w:p>
    <w:p>
      <w:pPr>
        <w:pStyle w:val="FirstParagraph"/>
      </w:pPr>
      <w:r>
        <w:t xml:space="preserve">Bempedoic acid confirms that Neuland can execute a complete innovator technology-transfer and commercialisation program. Enlicitide demonstrates that advanced synthetic and macrocyclic peptides are becoming commercially relevant, supporting the strategic rationale for Neuland’s peptide investment. However, no evidence links Neuland directly to enlicitide, and inclisiran remains outside its demonstrated capabilities.</w:t>
      </w:r>
    </w:p>
    <w:p>
      <w:pPr>
        <w:pStyle w:val="BodyText"/>
      </w:pPr>
      <w:r>
        <w:t xml:space="preserve">The investment case should therefore distinguish clearly between</w:t>
      </w:r>
      <w:r>
        <w:t xml:space="preserve"> </w:t>
      </w:r>
      <w:r>
        <w:rPr>
          <w:b/>
          <w:bCs/>
        </w:rPr>
        <w:t xml:space="preserve">current earnings and future optionality</w:t>
      </w:r>
      <w:r>
        <w:t xml:space="preserve">. Bempedoic acid belongs in current earnings. Peptide projects should be reflected progressively as qualification and commercial milestones are achieved. Enlicitide should currently remain a zero-revenue capability read-through.</w:t>
      </w:r>
    </w:p>
    <w:bookmarkEnd w:id="38"/>
    <w:bookmarkStart w:id="39" w:name="key-monitorables-for-management"/>
    <w:p>
      <w:pPr>
        <w:pStyle w:val="Heading3"/>
      </w:pPr>
      <w:r>
        <w:t xml:space="preserve">Key monitorables for management</w:t>
      </w:r>
    </w:p>
    <w:p>
      <w:pPr>
        <w:pStyle w:val="Compact"/>
        <w:numPr>
          <w:ilvl w:val="0"/>
          <w:numId w:val="1010"/>
        </w:numPr>
      </w:pPr>
      <w:r>
        <w:t xml:space="preserve">Current bempedoic-acid commercial supply and Neuland’s source position relative to Corden.</w:t>
      </w:r>
    </w:p>
    <w:p>
      <w:pPr>
        <w:pStyle w:val="Compact"/>
        <w:numPr>
          <w:ilvl w:val="0"/>
          <w:numId w:val="1010"/>
        </w:numPr>
      </w:pPr>
      <w:r>
        <w:t xml:space="preserve">Whether Blue Jet or another customer-nominated supplier provides Neuland’s key intermediate.</w:t>
      </w:r>
    </w:p>
    <w:p>
      <w:pPr>
        <w:pStyle w:val="Compact"/>
        <w:numPr>
          <w:ilvl w:val="0"/>
          <w:numId w:val="1010"/>
        </w:numPr>
      </w:pPr>
      <w:r>
        <w:t xml:space="preserve">Number of peptide projects at Phase III, pre-registration and commercial stages.</w:t>
      </w:r>
    </w:p>
    <w:p>
      <w:pPr>
        <w:pStyle w:val="Compact"/>
        <w:numPr>
          <w:ilvl w:val="0"/>
          <w:numId w:val="1010"/>
        </w:numPr>
      </w:pPr>
      <w:r>
        <w:t xml:space="preserve">First peptide-facility customer qualification and PPQ completion.</w:t>
      </w:r>
    </w:p>
    <w:p>
      <w:pPr>
        <w:pStyle w:val="Compact"/>
        <w:numPr>
          <w:ilvl w:val="0"/>
          <w:numId w:val="1010"/>
        </w:numPr>
      </w:pPr>
      <w:r>
        <w:t xml:space="preserve">First recurring commercial cyclic-peptide campaign.</w:t>
      </w:r>
    </w:p>
    <w:p>
      <w:pPr>
        <w:pStyle w:val="Compact"/>
        <w:numPr>
          <w:ilvl w:val="0"/>
          <w:numId w:val="1010"/>
        </w:numPr>
      </w:pPr>
      <w:r>
        <w:t xml:space="preserve">Peptide utilisation, revenue and margin contribution from FY28 onward.</w:t>
      </w:r>
    </w:p>
    <w:p>
      <w:pPr>
        <w:pStyle w:val="Compact"/>
        <w:numPr>
          <w:ilvl w:val="0"/>
          <w:numId w:val="1010"/>
        </w:numPr>
      </w:pPr>
      <w:r>
        <w:t xml:space="preserve">Neuland’s internal enzyme-development and biocatalysis capabilities.</w:t>
      </w:r>
    </w:p>
    <w:p>
      <w:pPr>
        <w:pStyle w:val="Compact"/>
        <w:numPr>
          <w:ilvl w:val="0"/>
          <w:numId w:val="1010"/>
        </w:numPr>
      </w:pPr>
      <w:r>
        <w:t xml:space="preserve">Whether future peptide capacity expansion is customer backed.</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cms.mhra.gov.uk/mhra/api-reg/uk-api-29595?utm_source=chatgpt.com" TargetMode="External" /><Relationship Type="http://schemas.openxmlformats.org/officeDocument/2006/relationships/hyperlink" Id="rId23" Target="https://pubmed.ncbi.nlm.nih.gov/42096573/?utm_source=chatgpt.com" TargetMode="External" /><Relationship Type="http://schemas.openxmlformats.org/officeDocument/2006/relationships/hyperlink" Id="rId21" Target="https://www.fda.gov/news-events/press-announcements/fda-approves-first-oral-pcsk9-inhibitor-lower-ldl-cholesterol-adults-high-cholesterol?utm_source=chatgpt.com" TargetMode="External" /><Relationship Type="http://schemas.openxmlformats.org/officeDocument/2006/relationships/hyperlink" Id="rId33" Target="https://www.neulandlabs.com/en/about-us/our-facilities/peptide-manufacturing-facility-hyderabad" TargetMode="External" /><Relationship Type="http://schemas.openxmlformats.org/officeDocument/2006/relationships/hyperlink" Id="rId10" Target="https://www.neulandlabs.com/en/insights/stories/advancing-cholesterol-lowering-drug-height-pandemic?utm_source=chatgpt.com" TargetMode="External" /><Relationship Type="http://schemas.openxmlformats.org/officeDocument/2006/relationships/hyperlink" Id="rId16" Target="https://www.sebi.gov.in/sebi_data/attachdocs/oct-2023/1698639330603.pdf" TargetMode="External" /></Relationships>
</file>

<file path=word/_rels/footnotes.xml.rels><?xml version="1.0" encoding="UTF-8"?><Relationships xmlns="http://schemas.openxmlformats.org/package/2006/relationships"><Relationship Type="http://schemas.openxmlformats.org/officeDocument/2006/relationships/hyperlink" Id="rId12" Target="https://cms.mhra.gov.uk/mhra/api-reg/uk-api-29595?utm_source=chatgpt.com" TargetMode="External" /><Relationship Type="http://schemas.openxmlformats.org/officeDocument/2006/relationships/hyperlink" Id="rId23" Target="https://pubmed.ncbi.nlm.nih.gov/42096573/?utm_source=chatgpt.com" TargetMode="External" /><Relationship Type="http://schemas.openxmlformats.org/officeDocument/2006/relationships/hyperlink" Id="rId21" Target="https://www.fda.gov/news-events/press-announcements/fda-approves-first-oral-pcsk9-inhibitor-lower-ldl-cholesterol-adults-high-cholesterol?utm_source=chatgpt.com" TargetMode="External" /><Relationship Type="http://schemas.openxmlformats.org/officeDocument/2006/relationships/hyperlink" Id="rId33" Target="https://www.neulandlabs.com/en/about-us/our-facilities/peptide-manufacturing-facility-hyderabad" TargetMode="External" /><Relationship Type="http://schemas.openxmlformats.org/officeDocument/2006/relationships/hyperlink" Id="rId10" Target="https://www.neulandlabs.com/en/insights/stories/advancing-cholesterol-lowering-drug-height-pandemic?utm_source=chatgpt.com" TargetMode="External" /><Relationship Type="http://schemas.openxmlformats.org/officeDocument/2006/relationships/hyperlink" Id="rId16" Target="https://www.sebi.gov.in/sebi_data/attachdocs/oct-2023/169863933060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