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130C1" w:rsidRPr="00A130C1" w:rsidRDefault="00A130C1" w:rsidP="00A130C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130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Exact text to put into the slide</w:t>
      </w:r>
    </w:p>
    <w:p w:rsidR="00A130C1" w:rsidRPr="00A130C1" w:rsidRDefault="00A130C1" w:rsidP="00A13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Shilpa Medicare — US$1.4bn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2294"/>
        <w:gridCol w:w="4014"/>
      </w:tblGrid>
      <w:tr w:rsidR="00A130C1" w:rsidRPr="00A130C1" w:rsidTr="00A130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Assets we like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Est. peak sales, </w:t>
            </w:r>
            <w:proofErr w:type="spellStart"/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US$m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Innovation type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NorUDCA</w:t>
            </w:r>
            <w:proofErr w:type="spellEnd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NODUCA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NCE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Recombinant human albumin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NBE / recombinant biologic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Nivolumab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Biosimilar / </w:t>
            </w:r>
            <w:proofErr w:type="spellStart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sBLA</w:t>
            </w:r>
            <w:proofErr w:type="spellEnd"/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Paclitaxel albumin-bound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injectable / ANDA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Rotigotine</w:t>
            </w:r>
            <w:proofErr w:type="spellEnd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transdermal patch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transdermal / ANDA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OERIS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Differentiated injectable / 505(b)(2)-type</w:t>
            </w:r>
          </w:p>
        </w:tc>
      </w:tr>
    </w:tbl>
    <w:p w:rsidR="00A130C1" w:rsidRPr="00A130C1" w:rsidRDefault="00A130C1" w:rsidP="00A13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Rubicon Research — US$0.7bn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7"/>
        <w:gridCol w:w="2294"/>
        <w:gridCol w:w="3415"/>
      </w:tblGrid>
      <w:tr w:rsidR="00A130C1" w:rsidRPr="00A130C1" w:rsidTr="00A130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Assets we like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Est. peak sales, </w:t>
            </w:r>
            <w:proofErr w:type="spellStart"/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US$m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Innovation type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Fluticasone nasal spray: Rx + OTC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Drug-device combination / ANDA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Raldesy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505(b)(2) branded NDA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Lopressor OS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Branded NDA / oral liquid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Equetro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modified-release NDA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Ipratropium nasal spray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Drug-device combination / ANDA</w:t>
            </w:r>
          </w:p>
        </w:tc>
      </w:tr>
    </w:tbl>
    <w:p w:rsidR="00A130C1" w:rsidRPr="00A130C1" w:rsidRDefault="00A130C1" w:rsidP="00A13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Dr. Reddy’s Laboratories — US$5.3bn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294"/>
        <w:gridCol w:w="3328"/>
      </w:tblGrid>
      <w:tr w:rsidR="00A130C1" w:rsidRPr="00A130C1" w:rsidTr="00A130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Assets we like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Est. peak sales, </w:t>
            </w:r>
            <w:proofErr w:type="spellStart"/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US$m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Innovation type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Semaglutide</w:t>
            </w:r>
            <w:proofErr w:type="spellEnd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franchise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peptide generic / GLP-1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Pembrolizumab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275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Biosimilar / </w:t>
            </w:r>
            <w:proofErr w:type="spellStart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sBLA</w:t>
            </w:r>
            <w:proofErr w:type="spellEnd"/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Daratumumab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Biosimilar / </w:t>
            </w:r>
            <w:proofErr w:type="spellStart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sBLA</w:t>
            </w:r>
            <w:proofErr w:type="spellEnd"/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Denosumab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Biosimilar / </w:t>
            </w:r>
            <w:proofErr w:type="spellStart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sBLA</w:t>
            </w:r>
            <w:proofErr w:type="spellEnd"/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COYA 302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NBE / combination biologic</w:t>
            </w:r>
          </w:p>
        </w:tc>
      </w:tr>
      <w:tr w:rsidR="00A130C1" w:rsidRPr="00A130C1" w:rsidTr="00A130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Abatacept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:rsidR="00A130C1" w:rsidRPr="00A130C1" w:rsidRDefault="00A130C1" w:rsidP="00A130C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Fc-fusion biosimilar / </w:t>
            </w:r>
            <w:proofErr w:type="spellStart"/>
            <w:r w:rsidRPr="00A130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sBLA</w:t>
            </w:r>
            <w:proofErr w:type="spellEnd"/>
          </w:p>
        </w:tc>
      </w:tr>
    </w:tbl>
    <w:p w:rsidR="00A130C1" w:rsidRPr="00A130C1" w:rsidRDefault="00A130C1" w:rsidP="00A130C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13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Deck-level arithmetic</w:t>
      </w:r>
    </w:p>
    <w:p w:rsidR="00A130C1" w:rsidRPr="00A130C1" w:rsidRDefault="00A130C1" w:rsidP="00A13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30C1">
        <w:rPr>
          <w:rFonts w:ascii="Times New Roman" w:eastAsia="Times New Roman" w:hAnsi="Times New Roman" w:cs="Times New Roman"/>
          <w:kern w:val="0"/>
          <w14:ligatures w14:val="none"/>
        </w:rPr>
        <w:t xml:space="preserve">Existing five-company pool in your first two slides: </w:t>
      </w:r>
      <w:r w:rsidRPr="00A13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US$9.9bn</w:t>
      </w:r>
      <w:r w:rsidRPr="00A130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130C1" w:rsidRPr="00A130C1" w:rsidRDefault="00A130C1" w:rsidP="00A13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30C1">
        <w:rPr>
          <w:rFonts w:ascii="Times New Roman" w:eastAsia="Times New Roman" w:hAnsi="Times New Roman" w:cs="Times New Roman"/>
          <w:kern w:val="0"/>
          <w14:ligatures w14:val="none"/>
        </w:rPr>
        <w:t xml:space="preserve">Shilpa + Rubicon + Dr. Reddy’s: </w:t>
      </w:r>
      <w:r w:rsidRPr="00A13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US$7.5bn</w:t>
      </w:r>
      <w:r w:rsidRPr="00A130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130C1" w:rsidRPr="00A130C1" w:rsidRDefault="00A130C1" w:rsidP="00A13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30C1">
        <w:rPr>
          <w:rFonts w:ascii="Times New Roman" w:eastAsia="Times New Roman" w:hAnsi="Times New Roman" w:cs="Times New Roman"/>
          <w:kern w:val="0"/>
          <w14:ligatures w14:val="none"/>
        </w:rPr>
        <w:t xml:space="preserve">Revised total deck opportunity: </w:t>
      </w:r>
      <w:r w:rsidRPr="00A13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US$17.4bn</w:t>
      </w:r>
      <w:r w:rsidRPr="00A130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130C1" w:rsidRPr="00A130C1" w:rsidRDefault="00A130C1" w:rsidP="00A130C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30C1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rounded headline: </w:t>
      </w:r>
      <w:r w:rsidRPr="00A13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“~US$17.5bn revenue unlock by 2035”</w:t>
      </w:r>
      <w:r w:rsidRPr="00A130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A130C1" w:rsidRPr="00A130C1" w:rsidRDefault="00A130C1" w:rsidP="00A130C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30C1">
        <w:rPr>
          <w:rFonts w:ascii="Times New Roman" w:eastAsia="Times New Roman" w:hAnsi="Times New Roman" w:cs="Times New Roman"/>
          <w:kern w:val="0"/>
          <w14:ligatures w14:val="none"/>
        </w:rPr>
        <w:t>Recommended source footer:</w:t>
      </w:r>
    </w:p>
    <w:p w:rsidR="00A130C1" w:rsidRPr="00A130C1" w:rsidRDefault="00A130C1" w:rsidP="00A130C1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13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Source: Company filings, regulatory disclosures, partner announcements and Bernstein estimates. Peak sales and cumulative 2035 revenue pools are analyst estimates and not company guidance.</w:t>
      </w:r>
    </w:p>
    <w:p w:rsidR="007B788F" w:rsidRDefault="007B788F"/>
    <w:sectPr w:rsidR="007B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6E381C"/>
    <w:multiLevelType w:val="multilevel"/>
    <w:tmpl w:val="8F5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43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C1"/>
    <w:rsid w:val="007B788F"/>
    <w:rsid w:val="0098646A"/>
    <w:rsid w:val="00A1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12FE950-5E7C-DF4A-BCD3-F61DD4ED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30C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130C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C1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130C1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A130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130C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85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8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03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2026-07-24T05:57:00Z</dcterms:created>
  <dcterms:modified xsi:type="dcterms:W3CDTF">2026-07-24T05:57:00Z</dcterms:modified>
</cp:coreProperties>
</file>