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rFonts w:ascii="Arial" w:hAnsi="Arial"/>
          <w:b/>
          <w:color w:val="9B1C31"/>
          <w:sz w:val="62"/>
        </w:rPr>
        <w:t>PFIZER LIMITED</w:t>
      </w:r>
    </w:p>
    <w:p>
      <w:r>
        <w:rPr>
          <w:rFonts w:ascii="Arial" w:hAnsi="Arial"/>
          <w:b/>
          <w:color w:val="212529"/>
          <w:sz w:val="36"/>
        </w:rPr>
        <w:t>What minority shareholders actually own</w:t>
      </w:r>
    </w:p>
    <w:p>
      <w:r>
        <w:rPr>
          <w:color w:val="B18A45"/>
          <w:sz w:val="26"/>
        </w:rPr>
        <w:t>India healthcare initiation primer</w:t>
      </w:r>
    </w:p>
    <w:p/>
    <w:tbl>
      <w:tblPr>
        <w:tblStyle w:val="TableGrid"/>
        <w:tblW w:type="auto" w:w="0"/>
        <w:jc w:val="left"/>
        <w:tblLook w:firstColumn="1" w:firstRow="1" w:lastColumn="0" w:lastRow="0" w:noHBand="0" w:noVBand="1" w:val="04A0"/>
      </w:tblPr>
      <w:tblGrid>
        <w:gridCol w:w="5083"/>
        <w:gridCol w:w="5083"/>
      </w:tblGrid>
      <w:tr>
        <w:trPr>
          <w:cantSplit/>
        </w:trPr>
        <w:tc>
          <w:tcPr>
            <w:tcW w:type="dxa" w:w="5083"/>
            <w:shd w:fill="F7E9EC"/>
            <w:tcMar>
              <w:top w:w="55" w:type="dxa"/>
              <w:start w:w="70" w:type="dxa"/>
              <w:bottom w:w="55" w:type="dxa"/>
              <w:end w:w="70" w:type="dxa"/>
            </w:tcMar>
          </w:tcPr>
          <w:p>
            <w:pPr>
              <w:spacing w:line="240" w:lineRule="auto" w:after="10"/>
            </w:pPr>
            <w:r>
              <w:rPr>
                <w:rFonts w:ascii="Arial" w:hAnsi="Arial"/>
                <w:b/>
                <w:sz w:val="16"/>
              </w:rPr>
              <w:t>Information cut-off</w:t>
            </w:r>
          </w:p>
        </w:tc>
        <w:tc>
          <w:tcPr>
            <w:tcW w:type="dxa" w:w="5083"/>
            <w:tcMar>
              <w:top w:w="55" w:type="dxa"/>
              <w:start w:w="70" w:type="dxa"/>
              <w:bottom w:w="55" w:type="dxa"/>
              <w:end w:w="70" w:type="dxa"/>
            </w:tcMar>
          </w:tcPr>
          <w:p>
            <w:pPr>
              <w:spacing w:line="240" w:lineRule="auto" w:after="10"/>
            </w:pPr>
            <w:r>
              <w:rPr>
                <w:rFonts w:ascii="Arial" w:hAnsi="Arial"/>
                <w:sz w:val="16"/>
              </w:rPr>
              <w:t>17 September 2026</w:t>
            </w:r>
          </w:p>
        </w:tc>
      </w:tr>
      <w:tr>
        <w:trPr>
          <w:cantSplit/>
        </w:trPr>
        <w:tc>
          <w:tcPr>
            <w:tcW w:type="dxa" w:w="5083"/>
            <w:shd w:fill="F7E9EC"/>
            <w:tcMar>
              <w:top w:w="55" w:type="dxa"/>
              <w:start w:w="70" w:type="dxa"/>
              <w:bottom w:w="55" w:type="dxa"/>
              <w:end w:w="70" w:type="dxa"/>
            </w:tcMar>
          </w:tcPr>
          <w:p>
            <w:pPr>
              <w:spacing w:line="240" w:lineRule="auto" w:after="10"/>
            </w:pPr>
            <w:r>
              <w:rPr>
                <w:rFonts w:ascii="Arial" w:hAnsi="Arial"/>
                <w:b/>
                <w:sz w:val="16"/>
              </w:rPr>
              <w:t>Market data</w:t>
            </w:r>
          </w:p>
        </w:tc>
        <w:tc>
          <w:tcPr>
            <w:tcW w:type="dxa" w:w="5083"/>
            <w:tcMar>
              <w:top w:w="55" w:type="dxa"/>
              <w:start w:w="70" w:type="dxa"/>
              <w:bottom w:w="55" w:type="dxa"/>
              <w:end w:w="70" w:type="dxa"/>
            </w:tcMar>
          </w:tcPr>
          <w:p>
            <w:pPr>
              <w:spacing w:line="240" w:lineRule="auto" w:after="10"/>
            </w:pPr>
            <w:r>
              <w:rPr>
                <w:rFonts w:ascii="Arial" w:hAnsi="Arial"/>
                <w:sz w:val="16"/>
              </w:rPr>
              <w:t>Close of 16 September 2026 unless stated</w:t>
            </w:r>
          </w:p>
        </w:tc>
      </w:tr>
      <w:tr>
        <w:trPr>
          <w:cantSplit/>
        </w:trPr>
        <w:tc>
          <w:tcPr>
            <w:tcW w:type="dxa" w:w="5083"/>
            <w:shd w:fill="F7E9EC"/>
            <w:tcMar>
              <w:top w:w="55" w:type="dxa"/>
              <w:start w:w="70" w:type="dxa"/>
              <w:bottom w:w="55" w:type="dxa"/>
              <w:end w:w="70" w:type="dxa"/>
            </w:tcMar>
          </w:tcPr>
          <w:p>
            <w:pPr>
              <w:spacing w:line="240" w:lineRule="auto" w:after="10"/>
            </w:pPr>
            <w:r>
              <w:rPr>
                <w:rFonts w:ascii="Arial" w:hAnsi="Arial"/>
                <w:b/>
                <w:sz w:val="16"/>
              </w:rPr>
              <w:t>Financial basis</w:t>
            </w:r>
          </w:p>
        </w:tc>
        <w:tc>
          <w:tcPr>
            <w:tcW w:type="dxa" w:w="5083"/>
            <w:tcMar>
              <w:top w:w="55" w:type="dxa"/>
              <w:start w:w="70" w:type="dxa"/>
              <w:bottom w:w="55" w:type="dxa"/>
              <w:end w:w="70" w:type="dxa"/>
            </w:tcMar>
          </w:tcPr>
          <w:p>
            <w:pPr>
              <w:spacing w:line="240" w:lineRule="auto" w:after="10"/>
            </w:pPr>
            <w:r>
              <w:rPr>
                <w:rFonts w:ascii="Arial" w:hAnsi="Arial"/>
                <w:sz w:val="16"/>
              </w:rPr>
              <w:t>Standalone Ind AS; FY ending 31 March</w:t>
            </w:r>
          </w:p>
        </w:tc>
      </w:tr>
      <w:tr>
        <w:trPr>
          <w:cantSplit/>
        </w:trPr>
        <w:tc>
          <w:tcPr>
            <w:tcW w:type="dxa" w:w="5083"/>
            <w:shd w:fill="F7E9EC"/>
            <w:tcMar>
              <w:top w:w="55" w:type="dxa"/>
              <w:start w:w="70" w:type="dxa"/>
              <w:bottom w:w="55" w:type="dxa"/>
              <w:end w:w="70" w:type="dxa"/>
            </w:tcMar>
          </w:tcPr>
          <w:p>
            <w:pPr>
              <w:spacing w:line="240" w:lineRule="auto" w:after="10"/>
            </w:pPr>
            <w:r>
              <w:rPr>
                <w:rFonts w:ascii="Arial" w:hAnsi="Arial"/>
                <w:b/>
                <w:sz w:val="16"/>
              </w:rPr>
              <w:t>Evidence status</w:t>
            </w:r>
          </w:p>
        </w:tc>
        <w:tc>
          <w:tcPr>
            <w:tcW w:type="dxa" w:w="5083"/>
            <w:tcMar>
              <w:top w:w="55" w:type="dxa"/>
              <w:start w:w="70" w:type="dxa"/>
              <w:bottom w:w="55" w:type="dxa"/>
              <w:end w:w="70" w:type="dxa"/>
            </w:tcMar>
          </w:tcPr>
          <w:p>
            <w:pPr>
              <w:spacing w:line="240" w:lineRule="auto" w:after="10"/>
            </w:pPr>
            <w:r>
              <w:rPr>
                <w:rFonts w:ascii="Arial" w:hAnsi="Arial"/>
                <w:sz w:val="16"/>
              </w:rPr>
              <w:t>No uploaded Pfizer source pack, IQVIA extract, Bloomberg export or company model was available. Public primary evidence was used.</w:t>
            </w:r>
          </w:p>
        </w:tc>
      </w:tr>
    </w:tbl>
    <w:p>
      <w:pPr>
        <w:keepNext/>
      </w:pPr>
      <w:r>
        <w:rPr>
          <w:color w:val="9B1C31"/>
          <w:sz w:val="18"/>
        </w:rPr>
        <w:t>Core call</w:t>
      </w:r>
    </w:p>
    <w:tbl>
      <w:tblPr>
        <w:tblW w:type="auto" w:w="0"/>
        <w:tblLook w:firstColumn="1" w:firstRow="1" w:lastColumn="0" w:lastRow="0" w:noHBand="0" w:noVBand="1" w:val="04A0"/>
      </w:tblPr>
      <w:tblGrid>
        <w:gridCol w:w="10166"/>
      </w:tblGrid>
      <w:tr>
        <w:tc>
          <w:tcPr>
            <w:tcW w:type="dxa" w:w="10166"/>
            <w:shd w:fill="9B1C31"/>
          </w:tcPr>
          <w:p>
            <w:pPr>
              <w:spacing w:line="240" w:lineRule="auto" w:after="10"/>
            </w:pPr>
            <w:r>
              <w:rPr>
                <w:rFonts w:ascii="Arial" w:hAnsi="Arial"/>
                <w:b/>
                <w:color w:val="FFFFFF"/>
                <w:sz w:val="22"/>
              </w:rPr>
              <w:t>The listed company is a high-quality, cash-rich branded-pharma operating company, not a listed proxy for Pfizer Inc. India. The shares look inexpensive after the September 2026 correction, but the correct multiple must reflect the absence of any disclosed entitlement to the parent oncology, rare-disease or future pipeline portfolio.</w:t>
            </w:r>
          </w:p>
        </w:tc>
      </w:tr>
    </w:tbl>
    <w:p>
      <w:r>
        <w:rPr>
          <w:color w:val="59636E"/>
          <w:sz w:val="14"/>
        </w:rPr>
        <w:t>Prepared as an independent analytical primer. “Bernstein estimate” denotes calculations made from disclosed evidence, not company guidance.</w:t>
      </w:r>
    </w:p>
    <w:p>
      <w:r>
        <w:br w:type="page"/>
      </w:r>
    </w:p>
    <w:p>
      <w:pPr>
        <w:pStyle w:val="Heading1"/>
      </w:pPr>
      <w:r>
        <w:t>Executive investment view</w:t>
      </w:r>
    </w:p>
    <w:p>
      <w:pPr>
        <w:pStyle w:val="Heading2"/>
      </w:pPr>
      <w:r>
        <w:t>Pfizer India in one paragraph</w:t>
      </w:r>
    </w:p>
    <w:p>
      <w:r>
        <w:t>Pfizer Limited is Pfizer Inc.’s 63.92%-controlled, separately listed Indian pharmaceutical company. It is a standalone, single-segment business with no subsidiaries, not the consolidation vehicle for all Pfizer activity in India. FY26 revenue from operations was ₹2,519.7 crore: ₹2,377.1 crore of product sales and ₹142.5 crore of other operating income, almost entirely services to Pfizer affiliates. Exports were only 3.8% of turnover. The commercial core is domestic branded medicines across vaccines, cardiovascular, internal medicine, respiratory, women’s health, pain, hospital anti-infectives and immunology. Prevenar, Eliquis, Becosules, Corex, hospital anti-infectives and selected established brands drive the economics. The Goa plant makes selected tablets, while a large share of finished goods and materials is purchased from Pfizer affiliates and third parties. This structure delivers high margins and low capital intensity, but the parent, not the listed entity, controls global intellectual property and product allocation. [S1, pp. 46-57, 168-226; S8]</w:t>
      </w:r>
    </w:p>
    <w:p>
      <w:pPr>
        <w:pStyle w:val="Heading2"/>
      </w:pPr>
      <w:r>
        <w:t>The stock debate</w:t>
      </w:r>
    </w:p>
    <w:p>
      <w:pPr>
        <w:pStyle w:val="ListBullet"/>
        <w:spacing w:after="30"/>
        <w:ind w:left="259" w:hanging="173"/>
      </w:pPr>
      <w:r>
        <w:rPr>
          <w:b/>
        </w:rPr>
        <w:t xml:space="preserve">Established brands: </w:t>
      </w:r>
      <w:r>
        <w:t>Can price, distribution and line extensions offset ageing, genericisation and discontinuations? Eliquis is outperforming after loss of exclusivity, but Amlogard has left and Minipress XL is now leaving.</w:t>
      </w:r>
    </w:p>
    <w:p>
      <w:pPr>
        <w:pStyle w:val="ListBullet"/>
        <w:spacing w:after="30"/>
        <w:ind w:left="259" w:hanging="173"/>
      </w:pPr>
      <w:r>
        <w:rPr>
          <w:b/>
        </w:rPr>
        <w:t xml:space="preserve">Concentration: </w:t>
      </w:r>
      <w:r>
        <w:t>How much of FY26 growth came from Prevenar, Eliquis and hospital brands, and what is the downside if one franchise stalls? Product sales by brand are not disclosed.</w:t>
      </w:r>
    </w:p>
    <w:p>
      <w:pPr>
        <w:pStyle w:val="ListBullet"/>
        <w:spacing w:after="30"/>
        <w:ind w:left="259" w:hanging="173"/>
      </w:pPr>
      <w:r>
        <w:rPr>
          <w:b/>
        </w:rPr>
        <w:t xml:space="preserve">Vaccines and hospitals: </w:t>
      </w:r>
      <w:r>
        <w:t>Can Prevenar 20 and Emblaveo create a second growth engine without becoming import-cost and specialist-field-force bottlenecks?</w:t>
      </w:r>
    </w:p>
    <w:p>
      <w:pPr>
        <w:pStyle w:val="ListBullet"/>
        <w:spacing w:after="30"/>
        <w:ind w:left="259" w:hanging="173"/>
      </w:pPr>
      <w:r>
        <w:rPr>
          <w:b/>
        </w:rPr>
        <w:t xml:space="preserve">Access to Pfizer Inc.: </w:t>
      </w:r>
      <w:r>
        <w:t>Does the listed company receive economically meaningful launches, or only selected assets that fit its existing field forces? No right of first refusal or parent commitment has been disclosed.</w:t>
      </w:r>
    </w:p>
    <w:p>
      <w:pPr>
        <w:pStyle w:val="ListBullet"/>
        <w:spacing w:after="30"/>
        <w:ind w:left="259" w:hanging="173"/>
      </w:pPr>
      <w:r>
        <w:rPr>
          <w:b/>
        </w:rPr>
        <w:t xml:space="preserve">Listed versus private: </w:t>
      </w:r>
      <w:r>
        <w:t>Pfizer Products India Private Limited is the India marketer on official labels for Palbace, Inlyta, Crizalk, Eraxis, VFEND and Xyntha. Minority shareholders therefore do not own all Pfizer India sales.</w:t>
      </w:r>
    </w:p>
    <w:p>
      <w:pPr>
        <w:pStyle w:val="ListBullet"/>
        <w:spacing w:after="30"/>
        <w:ind w:left="259" w:hanging="173"/>
      </w:pPr>
      <w:r>
        <w:rPr>
          <w:b/>
        </w:rPr>
        <w:t xml:space="preserve">Margins and cash: </w:t>
      </w:r>
      <w:r>
        <w:t>FY26 operating EBITDA margin reached a calculated 35.9% and cash plus bank balances reached ₹3,110.8 crore. The question is whether this reflects durable mix and productivity or underinvestment, and whether excess cash will be returned.</w:t>
      </w:r>
    </w:p>
    <w:p>
      <w:pPr>
        <w:pStyle w:val="Heading2"/>
      </w:pPr>
      <w:r>
        <w:t>Conclusion: the market is now pricing the operating company, not pipeline optionality</w:t>
      </w:r>
    </w:p>
    <w:p>
      <w:r>
        <w:t>At ₹4,014.40 on 16 September 2026, the equity value was approximately ₹18,360 crore. The shares traded at about 25x FY26 reported EPS and 24x FY26 core EPS. Net cash and bank deposits were ₹3,110.8 crore at March 2026, or ₹680 per share. After removing cash and after-tax treasury income, the implied operating multiple is still roughly 24x to 26x, not distressed. [S1; S21; calculated]</w:t>
      </w:r>
    </w:p>
    <w:p>
      <w:r>
        <w:t>The evidence supports a 6% to 7% medium-term revenue business, not a Pfizer-global pipeline story. Prevenar 20, Eliquis and hospital anti-infectives can sustain above-market growth through FY29. Nurtec and Emblaveo add credible but still modest launch revenue. The private-affiliate perimeter is a structural reason for a discount to listed subsidiaries with clearer parent-pipeline access. It is also contingent upside, but not target-price value.</w:t>
      </w:r>
    </w:p>
    <w:p>
      <w:r>
        <w:t>Our conclusion is constructive on earnings and cautious on duration. The market may be too conservative on near-term core earnings after the Minipress headline and too optimistic if it assumes broad transfer of Pfizer Inc. oncology or rare-disease assets. The two most important drivers are vaccine adoption and Eliquis/hospital execution. The two largest risks are parent product allocation and loss of mature brands. The most important catalyst would be a factual allocation policy or a disclosed commercial mandate for a material parent launch.</w:t>
      </w:r>
    </w:p>
    <w:p>
      <w:r>
        <w:t>Q1 FY27 supports the near-term earnings view. Revenue from operations increased 8.3% to ₹653.17 crore and PAT increased 6.6% to ₹204.47 crore despite other income falling to ₹44.84 crore from ₹67.17 crore. The operating business therefore did more work than headline PAT suggests. [S2, pp. 4-5]</w:t>
      </w:r>
    </w:p>
    <w:p>
      <w:pPr>
        <w:pStyle w:val="Heading2"/>
      </w:pPr>
      <w:r>
        <w:t>Indicative valuation conclusion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Item</w:t>
            </w:r>
          </w:p>
        </w:tc>
        <w:tc>
          <w:tcPr>
            <w:tcW w:type="dxa" w:w="1800"/>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Value</w:t>
            </w:r>
          </w:p>
        </w:tc>
        <w:tc>
          <w:tcPr>
            <w:tcW w:type="dxa" w:w="4752"/>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Basis</w:t>
            </w:r>
          </w:p>
        </w:tc>
      </w:tr>
      <w:tr>
        <w:trPr>
          <w:cantSplit/>
        </w:trPr>
        <w:tc>
          <w:tcPr>
            <w:tcW w:type="dxa" w:w="3168"/>
            <w:tcMar>
              <w:top w:w="55" w:type="dxa"/>
              <w:start w:w="70" w:type="dxa"/>
              <w:bottom w:w="55" w:type="dxa"/>
              <w:end w:w="70" w:type="dxa"/>
            </w:tcMar>
            <w:vAlign w:val="top"/>
          </w:tcPr>
          <w:p>
            <w:pPr>
              <w:spacing w:after="10" w:line="240" w:lineRule="auto"/>
            </w:pPr>
            <w:r>
              <w:rPr>
                <w:rFonts w:ascii="Arial" w:hAnsi="Arial"/>
                <w:b/>
                <w:sz w:val="15"/>
              </w:rPr>
              <w:t>Reference price</w:t>
            </w:r>
          </w:p>
        </w:tc>
        <w:tc>
          <w:tcPr>
            <w:tcW w:type="dxa" w:w="1800"/>
            <w:tcMar>
              <w:top w:w="55" w:type="dxa"/>
              <w:start w:w="70" w:type="dxa"/>
              <w:bottom w:w="55" w:type="dxa"/>
              <w:end w:w="70" w:type="dxa"/>
            </w:tcMar>
            <w:vAlign w:val="top"/>
          </w:tcPr>
          <w:p>
            <w:pPr>
              <w:spacing w:after="10" w:line="240" w:lineRule="auto"/>
            </w:pPr>
            <w:r>
              <w:rPr>
                <w:rFonts w:ascii="Arial" w:hAnsi="Arial"/>
                <w:sz w:val="15"/>
              </w:rPr>
              <w:t>₹4,014</w:t>
            </w:r>
          </w:p>
        </w:tc>
        <w:tc>
          <w:tcPr>
            <w:tcW w:type="dxa" w:w="4752"/>
            <w:tcMar>
              <w:top w:w="55" w:type="dxa"/>
              <w:start w:w="70" w:type="dxa"/>
              <w:bottom w:w="55" w:type="dxa"/>
              <w:end w:w="70" w:type="dxa"/>
            </w:tcMar>
            <w:vAlign w:val="top"/>
          </w:tcPr>
          <w:p>
            <w:pPr>
              <w:spacing w:after="10" w:line="240" w:lineRule="auto"/>
            </w:pPr>
            <w:r>
              <w:rPr>
                <w:rFonts w:ascii="Arial" w:hAnsi="Arial"/>
                <w:sz w:val="15"/>
              </w:rPr>
              <w:t>16 Sep 2026 close [S21]</w:t>
            </w:r>
          </w:p>
        </w:tc>
      </w:tr>
      <w:tr>
        <w:trPr>
          <w:cantSplit/>
        </w:trPr>
        <w:tc>
          <w:tcPr>
            <w:tcW w:type="dxa" w:w="3168"/>
            <w:shd w:fill="F7F7F7"/>
            <w:tcMar>
              <w:top w:w="55" w:type="dxa"/>
              <w:start w:w="70" w:type="dxa"/>
              <w:bottom w:w="55" w:type="dxa"/>
              <w:end w:w="70" w:type="dxa"/>
            </w:tcMar>
            <w:vAlign w:val="top"/>
          </w:tcPr>
          <w:p>
            <w:pPr>
              <w:spacing w:after="10" w:line="240" w:lineRule="auto"/>
            </w:pPr>
            <w:r>
              <w:rPr>
                <w:rFonts w:ascii="Arial" w:hAnsi="Arial"/>
                <w:b/>
                <w:sz w:val="15"/>
              </w:rPr>
              <w:t>FY29E total EPS</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5"/>
              </w:rPr>
              <w:t>₹204</w:t>
            </w:r>
          </w:p>
        </w:tc>
        <w:tc>
          <w:tcPr>
            <w:tcW w:type="dxa" w:w="4752"/>
            <w:shd w:fill="F7F7F7"/>
            <w:tcMar>
              <w:top w:w="55" w:type="dxa"/>
              <w:start w:w="70" w:type="dxa"/>
              <w:bottom w:w="55" w:type="dxa"/>
              <w:end w:w="70" w:type="dxa"/>
            </w:tcMar>
            <w:vAlign w:val="top"/>
          </w:tcPr>
          <w:p>
            <w:pPr>
              <w:spacing w:after="10" w:line="240" w:lineRule="auto"/>
            </w:pPr>
            <w:r>
              <w:rPr>
                <w:rFonts w:ascii="Arial" w:hAnsi="Arial"/>
                <w:sz w:val="15"/>
              </w:rPr>
              <w:t>Bernstein estimate</w:t>
            </w:r>
          </w:p>
        </w:tc>
      </w:tr>
      <w:tr>
        <w:trPr>
          <w:cantSplit/>
        </w:trPr>
        <w:tc>
          <w:tcPr>
            <w:tcW w:type="dxa" w:w="3168"/>
            <w:tcMar>
              <w:top w:w="55" w:type="dxa"/>
              <w:start w:w="70" w:type="dxa"/>
              <w:bottom w:w="55" w:type="dxa"/>
              <w:end w:w="70" w:type="dxa"/>
            </w:tcMar>
            <w:vAlign w:val="top"/>
          </w:tcPr>
          <w:p>
            <w:pPr>
              <w:spacing w:after="10" w:line="240" w:lineRule="auto"/>
            </w:pPr>
            <w:r>
              <w:rPr>
                <w:rFonts w:ascii="Arial" w:hAnsi="Arial"/>
                <w:b/>
                <w:sz w:val="15"/>
              </w:rPr>
              <w:t>FY29E operating EPS ex treasury</w:t>
            </w:r>
          </w:p>
        </w:tc>
        <w:tc>
          <w:tcPr>
            <w:tcW w:type="dxa" w:w="1800"/>
            <w:tcMar>
              <w:top w:w="55" w:type="dxa"/>
              <w:start w:w="70" w:type="dxa"/>
              <w:bottom w:w="55" w:type="dxa"/>
              <w:end w:w="70" w:type="dxa"/>
            </w:tcMar>
            <w:vAlign w:val="top"/>
          </w:tcPr>
          <w:p>
            <w:pPr>
              <w:spacing w:after="10" w:line="240" w:lineRule="auto"/>
            </w:pPr>
            <w:r>
              <w:rPr>
                <w:rFonts w:ascii="Arial" w:hAnsi="Arial"/>
                <w:sz w:val="15"/>
              </w:rPr>
              <w:t>₹169</w:t>
            </w:r>
          </w:p>
        </w:tc>
        <w:tc>
          <w:tcPr>
            <w:tcW w:type="dxa" w:w="4752"/>
            <w:tcMar>
              <w:top w:w="55" w:type="dxa"/>
              <w:start w:w="70" w:type="dxa"/>
              <w:bottom w:w="55" w:type="dxa"/>
              <w:end w:w="70" w:type="dxa"/>
            </w:tcMar>
            <w:vAlign w:val="top"/>
          </w:tcPr>
          <w:p>
            <w:pPr>
              <w:spacing w:after="10" w:line="240" w:lineRule="auto"/>
            </w:pPr>
            <w:r>
              <w:rPr>
                <w:rFonts w:ascii="Arial" w:hAnsi="Arial"/>
                <w:sz w:val="15"/>
              </w:rPr>
              <w:t>Bernstein estimate</w:t>
            </w:r>
          </w:p>
        </w:tc>
      </w:tr>
      <w:tr>
        <w:trPr>
          <w:cantSplit/>
        </w:trPr>
        <w:tc>
          <w:tcPr>
            <w:tcW w:type="dxa" w:w="3168"/>
            <w:shd w:fill="F7F7F7"/>
            <w:tcMar>
              <w:top w:w="55" w:type="dxa"/>
              <w:start w:w="70" w:type="dxa"/>
              <w:bottom w:w="55" w:type="dxa"/>
              <w:end w:w="70" w:type="dxa"/>
            </w:tcMar>
            <w:vAlign w:val="top"/>
          </w:tcPr>
          <w:p>
            <w:pPr>
              <w:spacing w:after="10" w:line="240" w:lineRule="auto"/>
            </w:pPr>
            <w:r>
              <w:rPr>
                <w:rFonts w:ascii="Arial" w:hAnsi="Arial"/>
                <w:b/>
                <w:sz w:val="15"/>
              </w:rPr>
              <w:t>FY29E excess cash per share</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5"/>
              </w:rPr>
              <w:t>₹765</w:t>
            </w:r>
          </w:p>
        </w:tc>
        <w:tc>
          <w:tcPr>
            <w:tcW w:type="dxa" w:w="4752"/>
            <w:shd w:fill="F7F7F7"/>
            <w:tcMar>
              <w:top w:w="55" w:type="dxa"/>
              <w:start w:w="70" w:type="dxa"/>
              <w:bottom w:w="55" w:type="dxa"/>
              <w:end w:w="70" w:type="dxa"/>
            </w:tcMar>
            <w:vAlign w:val="top"/>
          </w:tcPr>
          <w:p>
            <w:pPr>
              <w:spacing w:after="10" w:line="240" w:lineRule="auto"/>
            </w:pPr>
            <w:r>
              <w:rPr>
                <w:rFonts w:ascii="Arial" w:hAnsi="Arial"/>
                <w:sz w:val="15"/>
              </w:rPr>
              <w:t>Bernstein estimate; excludes ₹300 crore operating cash</w:t>
            </w:r>
          </w:p>
        </w:tc>
      </w:tr>
      <w:tr>
        <w:trPr>
          <w:cantSplit/>
        </w:trPr>
        <w:tc>
          <w:tcPr>
            <w:tcW w:type="dxa" w:w="3168"/>
            <w:tcMar>
              <w:top w:w="55" w:type="dxa"/>
              <w:start w:w="70" w:type="dxa"/>
              <w:bottom w:w="55" w:type="dxa"/>
              <w:end w:w="70" w:type="dxa"/>
            </w:tcMar>
            <w:vAlign w:val="top"/>
          </w:tcPr>
          <w:p>
            <w:pPr>
              <w:spacing w:after="10" w:line="240" w:lineRule="auto"/>
            </w:pPr>
            <w:r>
              <w:rPr>
                <w:rFonts w:ascii="Arial" w:hAnsi="Arial"/>
                <w:b/>
                <w:sz w:val="15"/>
              </w:rPr>
              <w:t>Justified operating P/E</w:t>
            </w:r>
          </w:p>
        </w:tc>
        <w:tc>
          <w:tcPr>
            <w:tcW w:type="dxa" w:w="1800"/>
            <w:tcMar>
              <w:top w:w="55" w:type="dxa"/>
              <w:start w:w="70" w:type="dxa"/>
              <w:bottom w:w="55" w:type="dxa"/>
              <w:end w:w="70" w:type="dxa"/>
            </w:tcMar>
            <w:vAlign w:val="top"/>
          </w:tcPr>
          <w:p>
            <w:pPr>
              <w:spacing w:after="10" w:line="240" w:lineRule="auto"/>
            </w:pPr>
            <w:r>
              <w:rPr>
                <w:rFonts w:ascii="Arial" w:hAnsi="Arial"/>
                <w:sz w:val="15"/>
              </w:rPr>
              <w:t>27.0x</w:t>
            </w:r>
          </w:p>
        </w:tc>
        <w:tc>
          <w:tcPr>
            <w:tcW w:type="dxa" w:w="4752"/>
            <w:tcMar>
              <w:top w:w="55" w:type="dxa"/>
              <w:start w:w="70" w:type="dxa"/>
              <w:bottom w:w="55" w:type="dxa"/>
              <w:end w:w="70" w:type="dxa"/>
            </w:tcMar>
            <w:vAlign w:val="top"/>
          </w:tcPr>
          <w:p>
            <w:pPr>
              <w:spacing w:after="10" w:line="240" w:lineRule="auto"/>
            </w:pPr>
            <w:r>
              <w:rPr>
                <w:rFonts w:ascii="Arial" w:hAnsi="Arial"/>
                <w:sz w:val="15"/>
              </w:rPr>
              <w:t>Below Abbott; above Sanofi; discount for portfolio access</w:t>
            </w:r>
          </w:p>
        </w:tc>
      </w:tr>
      <w:tr>
        <w:trPr>
          <w:cantSplit/>
        </w:trPr>
        <w:tc>
          <w:tcPr>
            <w:tcW w:type="dxa" w:w="3168"/>
            <w:shd w:fill="F7F7F7"/>
            <w:tcMar>
              <w:top w:w="55" w:type="dxa"/>
              <w:start w:w="70" w:type="dxa"/>
              <w:bottom w:w="55" w:type="dxa"/>
              <w:end w:w="70" w:type="dxa"/>
            </w:tcMar>
            <w:vAlign w:val="top"/>
          </w:tcPr>
          <w:p>
            <w:pPr>
              <w:spacing w:after="10" w:line="240" w:lineRule="auto"/>
            </w:pPr>
            <w:r>
              <w:rPr>
                <w:rFonts w:ascii="Arial" w:hAnsi="Arial"/>
                <w:b/>
                <w:sz w:val="15"/>
              </w:rPr>
              <w:t>Indicative fair value</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5"/>
              </w:rPr>
              <w:t>₹5,300</w:t>
            </w:r>
          </w:p>
        </w:tc>
        <w:tc>
          <w:tcPr>
            <w:tcW w:type="dxa" w:w="4752"/>
            <w:shd w:fill="F7F7F7"/>
            <w:tcMar>
              <w:top w:w="55" w:type="dxa"/>
              <w:start w:w="70" w:type="dxa"/>
              <w:bottom w:w="55" w:type="dxa"/>
              <w:end w:w="70" w:type="dxa"/>
            </w:tcMar>
            <w:vAlign w:val="top"/>
          </w:tcPr>
          <w:p>
            <w:pPr>
              <w:spacing w:after="10" w:line="240" w:lineRule="auto"/>
            </w:pPr>
            <w:r>
              <w:rPr>
                <w:rFonts w:ascii="Arial" w:hAnsi="Arial"/>
                <w:sz w:val="15"/>
              </w:rPr>
              <w:t>27x operating EPS plus excess cash</w:t>
            </w:r>
          </w:p>
        </w:tc>
      </w:tr>
      <w:tr>
        <w:trPr>
          <w:cantSplit/>
        </w:trPr>
        <w:tc>
          <w:tcPr>
            <w:tcW w:type="dxa" w:w="3168"/>
            <w:tcMar>
              <w:top w:w="55" w:type="dxa"/>
              <w:start w:w="70" w:type="dxa"/>
              <w:bottom w:w="55" w:type="dxa"/>
              <w:end w:w="70" w:type="dxa"/>
            </w:tcMar>
            <w:vAlign w:val="top"/>
          </w:tcPr>
          <w:p>
            <w:pPr>
              <w:spacing w:after="10" w:line="240" w:lineRule="auto"/>
            </w:pPr>
            <w:r>
              <w:rPr>
                <w:rFonts w:ascii="Arial" w:hAnsi="Arial"/>
                <w:b/>
                <w:sz w:val="15"/>
              </w:rPr>
              <w:t>Upside to reference price</w:t>
            </w:r>
          </w:p>
        </w:tc>
        <w:tc>
          <w:tcPr>
            <w:tcW w:type="dxa" w:w="1800"/>
            <w:tcMar>
              <w:top w:w="55" w:type="dxa"/>
              <w:start w:w="70" w:type="dxa"/>
              <w:bottom w:w="55" w:type="dxa"/>
              <w:end w:w="70" w:type="dxa"/>
            </w:tcMar>
            <w:vAlign w:val="top"/>
          </w:tcPr>
          <w:p>
            <w:pPr>
              <w:spacing w:after="10" w:line="240" w:lineRule="auto"/>
            </w:pPr>
            <w:r>
              <w:rPr>
                <w:rFonts w:ascii="Arial" w:hAnsi="Arial"/>
                <w:sz w:val="15"/>
              </w:rPr>
              <w:t>32%</w:t>
            </w:r>
          </w:p>
        </w:tc>
        <w:tc>
          <w:tcPr>
            <w:tcW w:type="dxa" w:w="4752"/>
            <w:tcMar>
              <w:top w:w="55" w:type="dxa"/>
              <w:start w:w="70" w:type="dxa"/>
              <w:bottom w:w="55" w:type="dxa"/>
              <w:end w:w="70" w:type="dxa"/>
            </w:tcMar>
            <w:vAlign w:val="top"/>
          </w:tcPr>
          <w:p>
            <w:pPr>
              <w:spacing w:after="10" w:line="240" w:lineRule="auto"/>
            </w:pPr>
            <w:r>
              <w:rPr>
                <w:rFonts w:ascii="Arial" w:hAnsi="Arial"/>
                <w:sz w:val="15"/>
              </w:rPr>
              <w:t>Calculated; not a formal rating or price target</w:t>
            </w:r>
          </w:p>
        </w:tc>
      </w:tr>
    </w:tbl>
    <w:p>
      <w:pPr>
        <w:pStyle w:val="Source"/>
      </w:pPr>
      <w:r>
        <w:t>Source: Bernstein estimates; Pfizer FY26 Annual Report [S1]; ICICI Direct [S21].</w:t>
      </w:r>
    </w:p>
    <w:p>
      <w:r>
        <w:br w:type="page"/>
      </w:r>
    </w:p>
    <w:p>
      <w:pPr>
        <w:pStyle w:val="Heading1"/>
      </w:pPr>
      <w:r>
        <w:t>PART I: Corporate perimeter</w:t>
      </w:r>
    </w:p>
    <w:p>
      <w:pPr>
        <w:pStyle w:val="Heading2"/>
      </w:pPr>
      <w:r>
        <w:t>Economic ownership: one operating company inside a larger Pfizer India ecosystem</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944"/>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Entity</w:t>
            </w:r>
          </w:p>
        </w:tc>
        <w:tc>
          <w:tcPr>
            <w:tcW w:type="dxa" w:w="1656"/>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Legal status</w:t>
            </w:r>
          </w:p>
        </w:tc>
        <w:tc>
          <w:tcPr>
            <w:tcW w:type="dxa" w:w="2376"/>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Main activity</w:t>
            </w:r>
          </w:p>
        </w:tc>
        <w:tc>
          <w:tcPr>
            <w:tcW w:type="dxa" w:w="1584"/>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Revenue</w:t>
            </w:r>
          </w:p>
        </w:tc>
        <w:tc>
          <w:tcPr>
            <w:tcW w:type="dxa" w:w="3096"/>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Relationship with listed Pfizer</w:t>
            </w:r>
          </w:p>
        </w:tc>
      </w:tr>
      <w:tr>
        <w:trPr>
          <w:cantSplit/>
        </w:trPr>
        <w:tc>
          <w:tcPr>
            <w:tcW w:type="dxa" w:w="1944"/>
            <w:tcMar>
              <w:top w:w="55" w:type="dxa"/>
              <w:start w:w="70" w:type="dxa"/>
              <w:bottom w:w="55" w:type="dxa"/>
              <w:end w:w="70" w:type="dxa"/>
            </w:tcMar>
            <w:vAlign w:val="top"/>
          </w:tcPr>
          <w:p>
            <w:pPr>
              <w:spacing w:after="10" w:line="240" w:lineRule="auto"/>
            </w:pPr>
            <w:r>
              <w:rPr>
                <w:rFonts w:ascii="Arial" w:hAnsi="Arial"/>
                <w:b/>
                <w:sz w:val="13"/>
              </w:rPr>
              <w:t>Pfizer Inc.</w:t>
            </w:r>
          </w:p>
        </w:tc>
        <w:tc>
          <w:tcPr>
            <w:tcW w:type="dxa" w:w="1656"/>
            <w:tcMar>
              <w:top w:w="55" w:type="dxa"/>
              <w:start w:w="70" w:type="dxa"/>
              <w:bottom w:w="55" w:type="dxa"/>
              <w:end w:w="70" w:type="dxa"/>
            </w:tcMar>
            <w:vAlign w:val="top"/>
          </w:tcPr>
          <w:p>
            <w:pPr>
              <w:spacing w:after="10" w:line="240" w:lineRule="auto"/>
            </w:pPr>
            <w:r>
              <w:rPr>
                <w:rFonts w:ascii="Arial" w:hAnsi="Arial"/>
                <w:sz w:val="13"/>
              </w:rPr>
              <w:t>US listed ultimate parent</w:t>
            </w:r>
          </w:p>
        </w:tc>
        <w:tc>
          <w:tcPr>
            <w:tcW w:type="dxa" w:w="2376"/>
            <w:tcMar>
              <w:top w:w="55" w:type="dxa"/>
              <w:start w:w="70" w:type="dxa"/>
              <w:bottom w:w="55" w:type="dxa"/>
              <w:end w:w="70" w:type="dxa"/>
            </w:tcMar>
            <w:vAlign w:val="top"/>
          </w:tcPr>
          <w:p>
            <w:pPr>
              <w:spacing w:after="10" w:line="240" w:lineRule="auto"/>
            </w:pPr>
            <w:r>
              <w:rPr>
                <w:rFonts w:ascii="Arial" w:hAnsi="Arial"/>
                <w:sz w:val="13"/>
              </w:rPr>
              <w:t>Ultimate controller; global IP, pipeline and allocation</w:t>
            </w:r>
          </w:p>
        </w:tc>
        <w:tc>
          <w:tcPr>
            <w:tcW w:type="dxa" w:w="1584"/>
            <w:tcMar>
              <w:top w:w="55" w:type="dxa"/>
              <w:start w:w="70" w:type="dxa"/>
              <w:bottom w:w="55" w:type="dxa"/>
              <w:end w:w="70" w:type="dxa"/>
            </w:tcMar>
            <w:vAlign w:val="top"/>
          </w:tcPr>
          <w:p>
            <w:pPr>
              <w:spacing w:after="10" w:line="240" w:lineRule="auto"/>
            </w:pPr>
            <w:r>
              <w:rPr>
                <w:rFonts w:ascii="Arial" w:hAnsi="Arial"/>
                <w:sz w:val="13"/>
              </w:rPr>
              <w:t>Not consolidated</w:t>
            </w:r>
          </w:p>
        </w:tc>
        <w:tc>
          <w:tcPr>
            <w:tcW w:type="dxa" w:w="3096"/>
            <w:tcMar>
              <w:top w:w="55" w:type="dxa"/>
              <w:start w:w="70" w:type="dxa"/>
              <w:bottom w:w="55" w:type="dxa"/>
              <w:end w:w="70" w:type="dxa"/>
            </w:tcMar>
            <w:vAlign w:val="top"/>
          </w:tcPr>
          <w:p>
            <w:pPr>
              <w:spacing w:after="10" w:line="240" w:lineRule="auto"/>
            </w:pPr>
            <w:r>
              <w:rPr>
                <w:rFonts w:ascii="Arial" w:hAnsi="Arial"/>
                <w:sz w:val="13"/>
              </w:rPr>
              <w:t>Owns/control chain above listed and private affiliates</w:t>
            </w:r>
          </w:p>
        </w:tc>
      </w:tr>
      <w:tr>
        <w:trPr>
          <w:cantSplit/>
        </w:trPr>
        <w:tc>
          <w:tcPr>
            <w:tcW w:type="dxa" w:w="1944"/>
            <w:shd w:fill="F7F7F7"/>
            <w:tcMar>
              <w:top w:w="55" w:type="dxa"/>
              <w:start w:w="70" w:type="dxa"/>
              <w:bottom w:w="55" w:type="dxa"/>
              <w:end w:w="70" w:type="dxa"/>
            </w:tcMar>
            <w:vAlign w:val="top"/>
          </w:tcPr>
          <w:p>
            <w:pPr>
              <w:spacing w:after="10" w:line="240" w:lineRule="auto"/>
            </w:pPr>
            <w:r>
              <w:rPr>
                <w:rFonts w:ascii="Arial" w:hAnsi="Arial"/>
                <w:b/>
                <w:sz w:val="13"/>
              </w:rPr>
              <w:t>Pfizer Limited</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India public company; BSE/NSE</w:t>
            </w:r>
          </w:p>
        </w:tc>
        <w:tc>
          <w:tcPr>
            <w:tcW w:type="dxa" w:w="2376"/>
            <w:shd w:fill="F7F7F7"/>
            <w:tcMar>
              <w:top w:w="55" w:type="dxa"/>
              <w:start w:w="70" w:type="dxa"/>
              <w:bottom w:w="55" w:type="dxa"/>
              <w:end w:w="70" w:type="dxa"/>
            </w:tcMar>
            <w:vAlign w:val="top"/>
          </w:tcPr>
          <w:p>
            <w:pPr>
              <w:spacing w:after="10" w:line="240" w:lineRule="auto"/>
            </w:pPr>
            <w:r>
              <w:rPr>
                <w:rFonts w:ascii="Arial" w:hAnsi="Arial"/>
                <w:sz w:val="13"/>
              </w:rPr>
              <w:t>Domestic pharma marketing, selected manufacturing, affiliate services</w:t>
            </w:r>
          </w:p>
        </w:tc>
        <w:tc>
          <w:tcPr>
            <w:tcW w:type="dxa" w:w="1584"/>
            <w:shd w:fill="F7F7F7"/>
            <w:tcMar>
              <w:top w:w="55" w:type="dxa"/>
              <w:start w:w="70" w:type="dxa"/>
              <w:bottom w:w="55" w:type="dxa"/>
              <w:end w:w="70" w:type="dxa"/>
            </w:tcMar>
            <w:vAlign w:val="top"/>
          </w:tcPr>
          <w:p>
            <w:pPr>
              <w:spacing w:after="10" w:line="240" w:lineRule="auto"/>
            </w:pPr>
            <w:r>
              <w:rPr>
                <w:rFonts w:ascii="Arial" w:hAnsi="Arial"/>
                <w:sz w:val="13"/>
              </w:rPr>
              <w:t>FY26 revenue ₹2,519.7cr</w:t>
            </w:r>
          </w:p>
        </w:tc>
        <w:tc>
          <w:tcPr>
            <w:tcW w:type="dxa" w:w="3096"/>
            <w:shd w:fill="F7F7F7"/>
            <w:tcMar>
              <w:top w:w="55" w:type="dxa"/>
              <w:start w:w="70" w:type="dxa"/>
              <w:bottom w:w="55" w:type="dxa"/>
              <w:end w:w="70" w:type="dxa"/>
            </w:tcMar>
            <w:vAlign w:val="top"/>
          </w:tcPr>
          <w:p>
            <w:pPr>
              <w:spacing w:after="10" w:line="240" w:lineRule="auto"/>
            </w:pPr>
            <w:r>
              <w:rPr>
                <w:rFonts w:ascii="Arial" w:hAnsi="Arial"/>
                <w:sz w:val="13"/>
              </w:rPr>
              <w:t>The security minority shareholders own</w:t>
            </w:r>
          </w:p>
        </w:tc>
      </w:tr>
      <w:tr>
        <w:trPr>
          <w:cantSplit/>
        </w:trPr>
        <w:tc>
          <w:tcPr>
            <w:tcW w:type="dxa" w:w="1944"/>
            <w:tcMar>
              <w:top w:w="55" w:type="dxa"/>
              <w:start w:w="70" w:type="dxa"/>
              <w:bottom w:w="55" w:type="dxa"/>
              <w:end w:w="70" w:type="dxa"/>
            </w:tcMar>
            <w:vAlign w:val="top"/>
          </w:tcPr>
          <w:p>
            <w:pPr>
              <w:spacing w:after="10" w:line="240" w:lineRule="auto"/>
            </w:pPr>
            <w:r>
              <w:rPr>
                <w:rFonts w:ascii="Arial" w:hAnsi="Arial"/>
                <w:b/>
                <w:sz w:val="13"/>
              </w:rPr>
              <w:t>Pfizer Products India Pvt Ltd</w:t>
            </w:r>
          </w:p>
        </w:tc>
        <w:tc>
          <w:tcPr>
            <w:tcW w:type="dxa" w:w="1656"/>
            <w:tcMar>
              <w:top w:w="55" w:type="dxa"/>
              <w:start w:w="70" w:type="dxa"/>
              <w:bottom w:w="55" w:type="dxa"/>
              <w:end w:w="70" w:type="dxa"/>
            </w:tcMar>
            <w:vAlign w:val="top"/>
          </w:tcPr>
          <w:p>
            <w:pPr>
              <w:spacing w:after="10" w:line="240" w:lineRule="auto"/>
            </w:pPr>
            <w:r>
              <w:rPr>
                <w:rFonts w:ascii="Arial" w:hAnsi="Arial"/>
                <w:sz w:val="13"/>
              </w:rPr>
              <w:t>India private fellow subsidiary</w:t>
            </w:r>
          </w:p>
        </w:tc>
        <w:tc>
          <w:tcPr>
            <w:tcW w:type="dxa" w:w="2376"/>
            <w:tcMar>
              <w:top w:w="55" w:type="dxa"/>
              <w:start w:w="70" w:type="dxa"/>
              <w:bottom w:w="55" w:type="dxa"/>
              <w:end w:w="70" w:type="dxa"/>
            </w:tcMar>
            <w:vAlign w:val="top"/>
          </w:tcPr>
          <w:p>
            <w:pPr>
              <w:spacing w:after="10" w:line="240" w:lineRule="auto"/>
            </w:pPr>
            <w:r>
              <w:rPr>
                <w:rFonts w:ascii="Arial" w:hAnsi="Arial"/>
                <w:sz w:val="13"/>
              </w:rPr>
              <w:t>Markets selected oncology, rare-disease, anti-infective and specialty assets</w:t>
            </w:r>
          </w:p>
        </w:tc>
        <w:tc>
          <w:tcPr>
            <w:tcW w:type="dxa" w:w="1584"/>
            <w:tcMar>
              <w:top w:w="55" w:type="dxa"/>
              <w:start w:w="70" w:type="dxa"/>
              <w:bottom w:w="55" w:type="dxa"/>
              <w:end w:w="70" w:type="dxa"/>
            </w:tcMar>
            <w:vAlign w:val="top"/>
          </w:tcPr>
          <w:p>
            <w:pPr>
              <w:spacing w:after="10" w:line="240" w:lineRule="auto"/>
            </w:pPr>
            <w:r>
              <w:rPr>
                <w:rFonts w:ascii="Arial" w:hAnsi="Arial"/>
                <w:sz w:val="13"/>
              </w:rPr>
              <w:t>Not publicly disclosed</w:t>
            </w:r>
          </w:p>
        </w:tc>
        <w:tc>
          <w:tcPr>
            <w:tcW w:type="dxa" w:w="3096"/>
            <w:tcMar>
              <w:top w:w="55" w:type="dxa"/>
              <w:start w:w="70" w:type="dxa"/>
              <w:bottom w:w="55" w:type="dxa"/>
              <w:end w:w="70" w:type="dxa"/>
            </w:tcMar>
            <w:vAlign w:val="top"/>
          </w:tcPr>
          <w:p>
            <w:pPr>
              <w:spacing w:after="10" w:line="240" w:lineRule="auto"/>
            </w:pPr>
            <w:r>
              <w:rPr>
                <w:rFonts w:ascii="Arial" w:hAnsi="Arial"/>
                <w:sz w:val="13"/>
              </w:rPr>
              <w:t>Paid listed company ₹42.7cr service income in FY26; not consolidated</w:t>
            </w:r>
          </w:p>
        </w:tc>
      </w:tr>
      <w:tr>
        <w:trPr>
          <w:cantSplit/>
        </w:trPr>
        <w:tc>
          <w:tcPr>
            <w:tcW w:type="dxa" w:w="1944"/>
            <w:shd w:fill="F7F7F7"/>
            <w:tcMar>
              <w:top w:w="55" w:type="dxa"/>
              <w:start w:w="70" w:type="dxa"/>
              <w:bottom w:w="55" w:type="dxa"/>
              <w:end w:w="70" w:type="dxa"/>
            </w:tcMar>
            <w:vAlign w:val="top"/>
          </w:tcPr>
          <w:p>
            <w:pPr>
              <w:spacing w:after="10" w:line="240" w:lineRule="auto"/>
            </w:pPr>
            <w:r>
              <w:rPr>
                <w:rFonts w:ascii="Arial" w:hAnsi="Arial"/>
                <w:b/>
                <w:sz w:val="13"/>
              </w:rPr>
              <w:t>Pfizer Healthcare India Pvt Ltd</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India private fellow subsidiary</w:t>
            </w:r>
          </w:p>
        </w:tc>
        <w:tc>
          <w:tcPr>
            <w:tcW w:type="dxa" w:w="2376"/>
            <w:shd w:fill="F7F7F7"/>
            <w:tcMar>
              <w:top w:w="55" w:type="dxa"/>
              <w:start w:w="70" w:type="dxa"/>
              <w:bottom w:w="55" w:type="dxa"/>
              <w:end w:w="70" w:type="dxa"/>
            </w:tcMar>
            <w:vAlign w:val="top"/>
          </w:tcPr>
          <w:p>
            <w:pPr>
              <w:spacing w:after="10" w:line="240" w:lineRule="auto"/>
            </w:pPr>
            <w:r>
              <w:rPr>
                <w:rFonts w:ascii="Arial" w:hAnsi="Arial"/>
                <w:sz w:val="13"/>
              </w:rPr>
              <w:t>Healthcare services and Pfizer sites; commercial scope not fully disclosed</w:t>
            </w:r>
          </w:p>
        </w:tc>
        <w:tc>
          <w:tcPr>
            <w:tcW w:type="dxa" w:w="1584"/>
            <w:shd w:fill="F7F7F7"/>
            <w:tcMar>
              <w:top w:w="55" w:type="dxa"/>
              <w:start w:w="70" w:type="dxa"/>
              <w:bottom w:w="55" w:type="dxa"/>
              <w:end w:w="70" w:type="dxa"/>
            </w:tcMar>
            <w:vAlign w:val="top"/>
          </w:tcPr>
          <w:p>
            <w:pPr>
              <w:spacing w:after="10" w:line="240" w:lineRule="auto"/>
            </w:pPr>
            <w:r>
              <w:rPr>
                <w:rFonts w:ascii="Arial" w:hAnsi="Arial"/>
                <w:sz w:val="13"/>
              </w:rPr>
              <w:t>Not publicly disclosed</w:t>
            </w:r>
          </w:p>
        </w:tc>
        <w:tc>
          <w:tcPr>
            <w:tcW w:type="dxa" w:w="3096"/>
            <w:shd w:fill="F7F7F7"/>
            <w:tcMar>
              <w:top w:w="55" w:type="dxa"/>
              <w:start w:w="70" w:type="dxa"/>
              <w:bottom w:w="55" w:type="dxa"/>
              <w:end w:w="70" w:type="dxa"/>
            </w:tcMar>
            <w:vAlign w:val="top"/>
          </w:tcPr>
          <w:p>
            <w:pPr>
              <w:spacing w:after="10" w:line="240" w:lineRule="auto"/>
            </w:pPr>
            <w:r>
              <w:rPr>
                <w:rFonts w:ascii="Arial" w:hAnsi="Arial"/>
                <w:sz w:val="13"/>
              </w:rPr>
              <w:t>Paid listed company ₹8.5cr service income in FY26; not consolidated</w:t>
            </w:r>
          </w:p>
        </w:tc>
      </w:tr>
      <w:tr>
        <w:trPr>
          <w:cantSplit/>
        </w:trPr>
        <w:tc>
          <w:tcPr>
            <w:tcW w:type="dxa" w:w="1944"/>
            <w:tcMar>
              <w:top w:w="55" w:type="dxa"/>
              <w:start w:w="70" w:type="dxa"/>
              <w:bottom w:w="55" w:type="dxa"/>
              <w:end w:w="70" w:type="dxa"/>
            </w:tcMar>
            <w:vAlign w:val="top"/>
          </w:tcPr>
          <w:p>
            <w:pPr>
              <w:spacing w:after="10" w:line="240" w:lineRule="auto"/>
            </w:pPr>
            <w:r>
              <w:rPr>
                <w:rFonts w:ascii="Arial" w:hAnsi="Arial"/>
                <w:b/>
                <w:sz w:val="13"/>
              </w:rPr>
              <w:t>Pfizer Worldwide Services</w:t>
            </w:r>
          </w:p>
        </w:tc>
        <w:tc>
          <w:tcPr>
            <w:tcW w:type="dxa" w:w="1656"/>
            <w:tcMar>
              <w:top w:w="55" w:type="dxa"/>
              <w:start w:w="70" w:type="dxa"/>
              <w:bottom w:w="55" w:type="dxa"/>
              <w:end w:w="70" w:type="dxa"/>
            </w:tcMar>
            <w:vAlign w:val="top"/>
          </w:tcPr>
          <w:p>
            <w:pPr>
              <w:spacing w:after="10" w:line="240" w:lineRule="auto"/>
            </w:pPr>
            <w:r>
              <w:rPr>
                <w:rFonts w:ascii="Arial" w:hAnsi="Arial"/>
                <w:sz w:val="13"/>
              </w:rPr>
              <w:t>Pfizer affiliate</w:t>
            </w:r>
          </w:p>
        </w:tc>
        <w:tc>
          <w:tcPr>
            <w:tcW w:type="dxa" w:w="2376"/>
            <w:tcMar>
              <w:top w:w="55" w:type="dxa"/>
              <w:start w:w="70" w:type="dxa"/>
              <w:bottom w:w="55" w:type="dxa"/>
              <w:end w:w="70" w:type="dxa"/>
            </w:tcMar>
            <w:vAlign w:val="top"/>
          </w:tcPr>
          <w:p>
            <w:pPr>
              <w:spacing w:after="10" w:line="240" w:lineRule="auto"/>
            </w:pPr>
            <w:r>
              <w:rPr>
                <w:rFonts w:ascii="Arial" w:hAnsi="Arial"/>
                <w:sz w:val="13"/>
              </w:rPr>
              <w:t>Global/shared services</w:t>
            </w:r>
          </w:p>
        </w:tc>
        <w:tc>
          <w:tcPr>
            <w:tcW w:type="dxa" w:w="1584"/>
            <w:tcMar>
              <w:top w:w="55" w:type="dxa"/>
              <w:start w:w="70" w:type="dxa"/>
              <w:bottom w:w="55" w:type="dxa"/>
              <w:end w:w="70" w:type="dxa"/>
            </w:tcMar>
            <w:vAlign w:val="top"/>
          </w:tcPr>
          <w:p>
            <w:pPr>
              <w:spacing w:after="10" w:line="240" w:lineRule="auto"/>
            </w:pPr>
            <w:r>
              <w:rPr>
                <w:rFonts w:ascii="Arial" w:hAnsi="Arial"/>
                <w:sz w:val="13"/>
              </w:rPr>
              <w:t>Not publicly disclosed</w:t>
            </w:r>
          </w:p>
        </w:tc>
        <w:tc>
          <w:tcPr>
            <w:tcW w:type="dxa" w:w="3096"/>
            <w:tcMar>
              <w:top w:w="55" w:type="dxa"/>
              <w:start w:w="70" w:type="dxa"/>
              <w:bottom w:w="55" w:type="dxa"/>
              <w:end w:w="70" w:type="dxa"/>
            </w:tcMar>
            <w:vAlign w:val="top"/>
          </w:tcPr>
          <w:p>
            <w:pPr>
              <w:spacing w:after="10" w:line="240" w:lineRule="auto"/>
            </w:pPr>
            <w:r>
              <w:rPr>
                <w:rFonts w:ascii="Arial" w:hAnsi="Arial"/>
                <w:sz w:val="13"/>
              </w:rPr>
              <w:t>Paid listed company ₹87.2cr service income in FY26</w:t>
            </w:r>
          </w:p>
        </w:tc>
      </w:tr>
      <w:tr>
        <w:trPr>
          <w:cantSplit/>
        </w:trPr>
        <w:tc>
          <w:tcPr>
            <w:tcW w:type="dxa" w:w="1944"/>
            <w:shd w:fill="F7F7F7"/>
            <w:tcMar>
              <w:top w:w="55" w:type="dxa"/>
              <w:start w:w="70" w:type="dxa"/>
              <w:bottom w:w="55" w:type="dxa"/>
              <w:end w:w="70" w:type="dxa"/>
            </w:tcMar>
            <w:vAlign w:val="top"/>
          </w:tcPr>
          <w:p>
            <w:pPr>
              <w:spacing w:after="10" w:line="240" w:lineRule="auto"/>
            </w:pPr>
            <w:r>
              <w:rPr>
                <w:rFonts w:ascii="Arial" w:hAnsi="Arial"/>
                <w:b/>
                <w:sz w:val="13"/>
              </w:rPr>
              <w:t>Pfizer Service Company BVBA</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Belgian Pfizer affiliate</w:t>
            </w:r>
          </w:p>
        </w:tc>
        <w:tc>
          <w:tcPr>
            <w:tcW w:type="dxa" w:w="2376"/>
            <w:shd w:fill="F7F7F7"/>
            <w:tcMar>
              <w:top w:w="55" w:type="dxa"/>
              <w:start w:w="70" w:type="dxa"/>
              <w:bottom w:w="55" w:type="dxa"/>
              <w:end w:w="70" w:type="dxa"/>
            </w:tcMar>
            <w:vAlign w:val="top"/>
          </w:tcPr>
          <w:p>
            <w:pPr>
              <w:spacing w:after="10" w:line="240" w:lineRule="auto"/>
            </w:pPr>
            <w:r>
              <w:rPr>
                <w:rFonts w:ascii="Arial" w:hAnsi="Arial"/>
                <w:sz w:val="13"/>
              </w:rPr>
              <w:t>Finished-goods and raw-material supplier</w:t>
            </w:r>
          </w:p>
        </w:tc>
        <w:tc>
          <w:tcPr>
            <w:tcW w:type="dxa" w:w="1584"/>
            <w:shd w:fill="F7F7F7"/>
            <w:tcMar>
              <w:top w:w="55" w:type="dxa"/>
              <w:start w:w="70" w:type="dxa"/>
              <w:bottom w:w="55" w:type="dxa"/>
              <w:end w:w="70" w:type="dxa"/>
            </w:tcMar>
            <w:vAlign w:val="top"/>
          </w:tcPr>
          <w:p>
            <w:pPr>
              <w:spacing w:after="10" w:line="240" w:lineRule="auto"/>
            </w:pPr>
            <w:r>
              <w:rPr>
                <w:rFonts w:ascii="Arial" w:hAnsi="Arial"/>
                <w:sz w:val="13"/>
              </w:rPr>
              <w:t>Not applicable</w:t>
            </w:r>
          </w:p>
        </w:tc>
        <w:tc>
          <w:tcPr>
            <w:tcW w:type="dxa" w:w="3096"/>
            <w:shd w:fill="F7F7F7"/>
            <w:tcMar>
              <w:top w:w="55" w:type="dxa"/>
              <w:start w:w="70" w:type="dxa"/>
              <w:bottom w:w="55" w:type="dxa"/>
              <w:end w:w="70" w:type="dxa"/>
            </w:tcMar>
            <w:vAlign w:val="top"/>
          </w:tcPr>
          <w:p>
            <w:pPr>
              <w:spacing w:after="10" w:line="240" w:lineRule="auto"/>
            </w:pPr>
            <w:r>
              <w:rPr>
                <w:rFonts w:ascii="Arial" w:hAnsi="Arial"/>
                <w:sz w:val="13"/>
              </w:rPr>
              <w:t>FY26 listed-company purchases: ₹522.9cr stock-in-trade and ₹49.0cr raw/bulk material</w:t>
            </w:r>
          </w:p>
        </w:tc>
      </w:tr>
      <w:tr>
        <w:trPr>
          <w:cantSplit/>
        </w:trPr>
        <w:tc>
          <w:tcPr>
            <w:tcW w:type="dxa" w:w="1944"/>
            <w:tcMar>
              <w:top w:w="55" w:type="dxa"/>
              <w:start w:w="70" w:type="dxa"/>
              <w:bottom w:w="55" w:type="dxa"/>
              <w:end w:w="70" w:type="dxa"/>
            </w:tcMar>
            <w:vAlign w:val="top"/>
          </w:tcPr>
          <w:p>
            <w:pPr>
              <w:spacing w:after="10" w:line="240" w:lineRule="auto"/>
            </w:pPr>
            <w:r>
              <w:rPr>
                <w:rFonts w:ascii="Arial" w:hAnsi="Arial"/>
                <w:b/>
                <w:sz w:val="13"/>
              </w:rPr>
              <w:t>Pfizer Export BV</w:t>
            </w:r>
          </w:p>
        </w:tc>
        <w:tc>
          <w:tcPr>
            <w:tcW w:type="dxa" w:w="1656"/>
            <w:tcMar>
              <w:top w:w="55" w:type="dxa"/>
              <w:start w:w="70" w:type="dxa"/>
              <w:bottom w:w="55" w:type="dxa"/>
              <w:end w:w="70" w:type="dxa"/>
            </w:tcMar>
            <w:vAlign w:val="top"/>
          </w:tcPr>
          <w:p>
            <w:pPr>
              <w:spacing w:after="10" w:line="240" w:lineRule="auto"/>
            </w:pPr>
            <w:r>
              <w:rPr>
                <w:rFonts w:ascii="Arial" w:hAnsi="Arial"/>
                <w:sz w:val="13"/>
              </w:rPr>
              <w:t>Netherlands Pfizer affiliate</w:t>
            </w:r>
          </w:p>
        </w:tc>
        <w:tc>
          <w:tcPr>
            <w:tcW w:type="dxa" w:w="2376"/>
            <w:tcMar>
              <w:top w:w="55" w:type="dxa"/>
              <w:start w:w="70" w:type="dxa"/>
              <w:bottom w:w="55" w:type="dxa"/>
              <w:end w:w="70" w:type="dxa"/>
            </w:tcMar>
            <w:vAlign w:val="top"/>
          </w:tcPr>
          <w:p>
            <w:pPr>
              <w:spacing w:after="10" w:line="240" w:lineRule="auto"/>
            </w:pPr>
            <w:r>
              <w:rPr>
                <w:rFonts w:ascii="Arial" w:hAnsi="Arial"/>
                <w:sz w:val="13"/>
              </w:rPr>
              <w:t>Export/service counterparty</w:t>
            </w:r>
          </w:p>
        </w:tc>
        <w:tc>
          <w:tcPr>
            <w:tcW w:type="dxa" w:w="1584"/>
            <w:tcMar>
              <w:top w:w="55" w:type="dxa"/>
              <w:start w:w="70" w:type="dxa"/>
              <w:bottom w:w="55" w:type="dxa"/>
              <w:end w:w="70" w:type="dxa"/>
            </w:tcMar>
            <w:vAlign w:val="top"/>
          </w:tcPr>
          <w:p>
            <w:pPr>
              <w:spacing w:after="10" w:line="240" w:lineRule="auto"/>
            </w:pPr>
            <w:r>
              <w:rPr>
                <w:rFonts w:ascii="Arial" w:hAnsi="Arial"/>
                <w:sz w:val="13"/>
              </w:rPr>
              <w:t>Not publicly disclosed</w:t>
            </w:r>
          </w:p>
        </w:tc>
        <w:tc>
          <w:tcPr>
            <w:tcW w:type="dxa" w:w="3096"/>
            <w:tcMar>
              <w:top w:w="55" w:type="dxa"/>
              <w:start w:w="70" w:type="dxa"/>
              <w:bottom w:w="55" w:type="dxa"/>
              <w:end w:w="70" w:type="dxa"/>
            </w:tcMar>
            <w:vAlign w:val="top"/>
          </w:tcPr>
          <w:p>
            <w:pPr>
              <w:spacing w:after="10" w:line="240" w:lineRule="auto"/>
            </w:pPr>
            <w:r>
              <w:rPr>
                <w:rFonts w:ascii="Arial" w:hAnsi="Arial"/>
                <w:sz w:val="13"/>
              </w:rPr>
              <w:t>Paid ₹3.6cr service income in FY26</w:t>
            </w:r>
          </w:p>
        </w:tc>
      </w:tr>
      <w:tr>
        <w:trPr>
          <w:cantSplit/>
        </w:trPr>
        <w:tc>
          <w:tcPr>
            <w:tcW w:type="dxa" w:w="1944"/>
            <w:shd w:fill="F7F7F7"/>
            <w:tcMar>
              <w:top w:w="55" w:type="dxa"/>
              <w:start w:w="70" w:type="dxa"/>
              <w:bottom w:w="55" w:type="dxa"/>
              <w:end w:w="70" w:type="dxa"/>
            </w:tcMar>
            <w:vAlign w:val="top"/>
          </w:tcPr>
          <w:p>
            <w:pPr>
              <w:spacing w:after="10" w:line="240" w:lineRule="auto"/>
            </w:pPr>
            <w:r>
              <w:rPr>
                <w:rFonts w:ascii="Arial" w:hAnsi="Arial"/>
                <w:b/>
                <w:sz w:val="13"/>
              </w:rPr>
              <w:t>Wyeth Limited</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Former India listed entity</w:t>
            </w:r>
          </w:p>
        </w:tc>
        <w:tc>
          <w:tcPr>
            <w:tcW w:type="dxa" w:w="2376"/>
            <w:shd w:fill="F7F7F7"/>
            <w:tcMar>
              <w:top w:w="55" w:type="dxa"/>
              <w:start w:w="70" w:type="dxa"/>
              <w:bottom w:w="55" w:type="dxa"/>
              <w:end w:w="70" w:type="dxa"/>
            </w:tcMar>
            <w:vAlign w:val="top"/>
          </w:tcPr>
          <w:p>
            <w:pPr>
              <w:spacing w:after="10" w:line="240" w:lineRule="auto"/>
            </w:pPr>
            <w:r>
              <w:rPr>
                <w:rFonts w:ascii="Arial" w:hAnsi="Arial"/>
                <w:sz w:val="13"/>
              </w:rPr>
              <w:t>Vaccines and women’s health</w:t>
            </w:r>
          </w:p>
        </w:tc>
        <w:tc>
          <w:tcPr>
            <w:tcW w:type="dxa" w:w="1584"/>
            <w:shd w:fill="F7F7F7"/>
            <w:tcMar>
              <w:top w:w="55" w:type="dxa"/>
              <w:start w:w="70" w:type="dxa"/>
              <w:bottom w:w="55" w:type="dxa"/>
              <w:end w:w="70" w:type="dxa"/>
            </w:tcMar>
            <w:vAlign w:val="top"/>
          </w:tcPr>
          <w:p>
            <w:pPr>
              <w:spacing w:after="10" w:line="240" w:lineRule="auto"/>
            </w:pPr>
            <w:r>
              <w:rPr>
                <w:rFonts w:ascii="Arial" w:hAnsi="Arial"/>
                <w:sz w:val="13"/>
              </w:rPr>
              <w:t>Merged</w:t>
            </w:r>
          </w:p>
        </w:tc>
        <w:tc>
          <w:tcPr>
            <w:tcW w:type="dxa" w:w="3096"/>
            <w:shd w:fill="F7F7F7"/>
            <w:tcMar>
              <w:top w:w="55" w:type="dxa"/>
              <w:start w:w="70" w:type="dxa"/>
              <w:bottom w:w="55" w:type="dxa"/>
              <w:end w:w="70" w:type="dxa"/>
            </w:tcMar>
            <w:vAlign w:val="top"/>
          </w:tcPr>
          <w:p>
            <w:pPr>
              <w:spacing w:after="10" w:line="240" w:lineRule="auto"/>
            </w:pPr>
            <w:r>
              <w:rPr>
                <w:rFonts w:ascii="Arial" w:hAnsi="Arial"/>
                <w:sz w:val="13"/>
              </w:rPr>
              <w:t>Amalgamated into Pfizer Limited effective 1 Apr 2014</w:t>
            </w:r>
          </w:p>
        </w:tc>
      </w:tr>
      <w:tr>
        <w:trPr>
          <w:cantSplit/>
        </w:trPr>
        <w:tc>
          <w:tcPr>
            <w:tcW w:type="dxa" w:w="1944"/>
            <w:tcMar>
              <w:top w:w="55" w:type="dxa"/>
              <w:start w:w="70" w:type="dxa"/>
              <w:bottom w:w="55" w:type="dxa"/>
              <w:end w:w="70" w:type="dxa"/>
            </w:tcMar>
            <w:vAlign w:val="top"/>
          </w:tcPr>
          <w:p>
            <w:pPr>
              <w:spacing w:after="10" w:line="240" w:lineRule="auto"/>
            </w:pPr>
            <w:r>
              <w:rPr>
                <w:rFonts w:ascii="Arial" w:hAnsi="Arial"/>
                <w:b/>
                <w:sz w:val="13"/>
              </w:rPr>
              <w:t>Mylan Pharmaceuticals Pvt Ltd / Viatris</w:t>
            </w:r>
          </w:p>
        </w:tc>
        <w:tc>
          <w:tcPr>
            <w:tcW w:type="dxa" w:w="1656"/>
            <w:tcMar>
              <w:top w:w="55" w:type="dxa"/>
              <w:start w:w="70" w:type="dxa"/>
              <w:bottom w:w="55" w:type="dxa"/>
              <w:end w:w="70" w:type="dxa"/>
            </w:tcMar>
            <w:vAlign w:val="top"/>
          </w:tcPr>
          <w:p>
            <w:pPr>
              <w:spacing w:after="10" w:line="240" w:lineRule="auto"/>
            </w:pPr>
            <w:r>
              <w:rPr>
                <w:rFonts w:ascii="Arial" w:hAnsi="Arial"/>
                <w:sz w:val="13"/>
              </w:rPr>
              <w:t>Third party</w:t>
            </w:r>
          </w:p>
        </w:tc>
        <w:tc>
          <w:tcPr>
            <w:tcW w:type="dxa" w:w="2376"/>
            <w:tcMar>
              <w:top w:w="55" w:type="dxa"/>
              <w:start w:w="70" w:type="dxa"/>
              <w:bottom w:w="55" w:type="dxa"/>
              <w:end w:w="70" w:type="dxa"/>
            </w:tcMar>
            <w:vAlign w:val="top"/>
          </w:tcPr>
          <w:p>
            <w:pPr>
              <w:spacing w:after="10" w:line="240" w:lineRule="auto"/>
            </w:pPr>
            <w:r>
              <w:rPr>
                <w:rFonts w:ascii="Arial" w:hAnsi="Arial"/>
                <w:sz w:val="13"/>
              </w:rPr>
              <w:t>Owns/operates transferred Upjohn business; CNS marketing partner</w:t>
            </w:r>
          </w:p>
        </w:tc>
        <w:tc>
          <w:tcPr>
            <w:tcW w:type="dxa" w:w="1584"/>
            <w:tcMar>
              <w:top w:w="55" w:type="dxa"/>
              <w:start w:w="70" w:type="dxa"/>
              <w:bottom w:w="55" w:type="dxa"/>
              <w:end w:w="70" w:type="dxa"/>
            </w:tcMar>
            <w:vAlign w:val="top"/>
          </w:tcPr>
          <w:p>
            <w:pPr>
              <w:spacing w:after="10" w:line="240" w:lineRule="auto"/>
            </w:pPr>
            <w:r>
              <w:rPr>
                <w:rFonts w:ascii="Arial" w:hAnsi="Arial"/>
                <w:sz w:val="13"/>
              </w:rPr>
              <w:t>Not relevant</w:t>
            </w:r>
          </w:p>
        </w:tc>
        <w:tc>
          <w:tcPr>
            <w:tcW w:type="dxa" w:w="3096"/>
            <w:tcMar>
              <w:top w:w="55" w:type="dxa"/>
              <w:start w:w="70" w:type="dxa"/>
              <w:bottom w:w="55" w:type="dxa"/>
              <w:end w:w="70" w:type="dxa"/>
            </w:tcMar>
            <w:vAlign w:val="top"/>
          </w:tcPr>
          <w:p>
            <w:pPr>
              <w:spacing w:after="10" w:line="240" w:lineRule="auto"/>
            </w:pPr>
            <w:r>
              <w:rPr>
                <w:rFonts w:ascii="Arial" w:hAnsi="Arial"/>
                <w:sz w:val="13"/>
              </w:rPr>
              <w:t>Bought six-brand Upjohn undertaking; partner for Ativan/Pacitane</w:t>
            </w:r>
          </w:p>
        </w:tc>
      </w:tr>
      <w:tr>
        <w:trPr>
          <w:cantSplit/>
        </w:trPr>
        <w:tc>
          <w:tcPr>
            <w:tcW w:type="dxa" w:w="1944"/>
            <w:shd w:fill="F7F7F7"/>
            <w:tcMar>
              <w:top w:w="55" w:type="dxa"/>
              <w:start w:w="70" w:type="dxa"/>
              <w:bottom w:w="55" w:type="dxa"/>
              <w:end w:w="70" w:type="dxa"/>
            </w:tcMar>
            <w:vAlign w:val="top"/>
          </w:tcPr>
          <w:p>
            <w:pPr>
              <w:spacing w:after="10" w:line="240" w:lineRule="auto"/>
            </w:pPr>
            <w:r>
              <w:rPr>
                <w:rFonts w:ascii="Arial" w:hAnsi="Arial"/>
                <w:b/>
                <w:sz w:val="13"/>
              </w:rPr>
              <w:t>Cipla Limited</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Third party listed company</w:t>
            </w:r>
          </w:p>
        </w:tc>
        <w:tc>
          <w:tcPr>
            <w:tcW w:type="dxa" w:w="2376"/>
            <w:shd w:fill="F7F7F7"/>
            <w:tcMar>
              <w:top w:w="55" w:type="dxa"/>
              <w:start w:w="70" w:type="dxa"/>
              <w:bottom w:w="55" w:type="dxa"/>
              <w:end w:w="70" w:type="dxa"/>
            </w:tcMar>
            <w:vAlign w:val="top"/>
          </w:tcPr>
          <w:p>
            <w:pPr>
              <w:spacing w:after="10" w:line="240" w:lineRule="auto"/>
            </w:pPr>
            <w:r>
              <w:rPr>
                <w:rFonts w:ascii="Arial" w:hAnsi="Arial"/>
                <w:sz w:val="13"/>
              </w:rPr>
              <w:t>Marketing/distribution partner</w:t>
            </w:r>
          </w:p>
        </w:tc>
        <w:tc>
          <w:tcPr>
            <w:tcW w:type="dxa" w:w="1584"/>
            <w:shd w:fill="F7F7F7"/>
            <w:tcMar>
              <w:top w:w="55" w:type="dxa"/>
              <w:start w:w="70" w:type="dxa"/>
              <w:bottom w:w="55" w:type="dxa"/>
              <w:end w:w="70" w:type="dxa"/>
            </w:tcMar>
            <w:vAlign w:val="top"/>
          </w:tcPr>
          <w:p>
            <w:pPr>
              <w:spacing w:after="10" w:line="240" w:lineRule="auto"/>
            </w:pPr>
            <w:r>
              <w:rPr>
                <w:rFonts w:ascii="Arial" w:hAnsi="Arial"/>
                <w:sz w:val="13"/>
              </w:rPr>
              <w:t>Not relevant</w:t>
            </w:r>
          </w:p>
        </w:tc>
        <w:tc>
          <w:tcPr>
            <w:tcW w:type="dxa" w:w="3096"/>
            <w:shd w:fill="F7F7F7"/>
            <w:tcMar>
              <w:top w:w="55" w:type="dxa"/>
              <w:start w:w="70" w:type="dxa"/>
              <w:bottom w:w="55" w:type="dxa"/>
              <w:end w:w="70" w:type="dxa"/>
            </w:tcMar>
            <w:vAlign w:val="top"/>
          </w:tcPr>
          <w:p>
            <w:pPr>
              <w:spacing w:after="10" w:line="240" w:lineRule="auto"/>
            </w:pPr>
            <w:r>
              <w:rPr>
                <w:rFonts w:ascii="Arial" w:hAnsi="Arial"/>
                <w:sz w:val="13"/>
              </w:rPr>
              <w:t>Exclusive India marketing and distribution for Corex Dx/LS, Dolonex and Neksium</w:t>
            </w:r>
          </w:p>
        </w:tc>
      </w:tr>
    </w:tbl>
    <w:p>
      <w:pPr>
        <w:pStyle w:val="ExhibitTitle"/>
      </w:pPr>
      <w:r>
        <w:t>Exhibit 1. The listed company is not Pfizer Inc.’s India consolidation vehicle</w:t>
      </w:r>
    </w:p>
    <w:p>
      <w:r>
        <w:rPr>
          <w:color w:val="59636E"/>
          <w:sz w:val="15"/>
        </w:rPr>
        <w:t>Private affiliates have distinct commercial and service functions. Similar names do not create listed-company economics.</w:t>
      </w:r>
    </w:p>
    <w:p>
      <w:pPr>
        <w:pStyle w:val="Source"/>
      </w:pPr>
      <w:r>
        <w:t>Source: Pfizer FY26 Annual Report, related-party note and MGT-7 [S1]; official India contact page [S16]; official PPIPL product labels [S9-S15].</w:t>
      </w:r>
    </w:p>
    <w:p>
      <w:pPr>
        <w:pStyle w:val="Heading2"/>
      </w:pPr>
      <w:r>
        <w:t>History: the perimeter expanded through mergers, then narrowed through portfolio transfers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Date</w:t>
            </w:r>
          </w:p>
        </w:tc>
        <w:tc>
          <w:tcPr>
            <w:tcW w:type="dxa" w:w="3456"/>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Event</w:t>
            </w:r>
          </w:p>
        </w:tc>
        <w:tc>
          <w:tcPr>
            <w:tcW w:type="dxa" w:w="5544"/>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Economic consequence</w:t>
            </w:r>
          </w:p>
        </w:tc>
      </w:tr>
      <w:tr>
        <w:trPr>
          <w:cantSplit/>
        </w:trPr>
        <w:tc>
          <w:tcPr>
            <w:tcW w:type="dxa" w:w="1656"/>
            <w:tcMar>
              <w:top w:w="55" w:type="dxa"/>
              <w:start w:w="70" w:type="dxa"/>
              <w:bottom w:w="55" w:type="dxa"/>
              <w:end w:w="70" w:type="dxa"/>
            </w:tcMar>
            <w:vAlign w:val="top"/>
          </w:tcPr>
          <w:p>
            <w:pPr>
              <w:spacing w:after="10" w:line="240" w:lineRule="auto"/>
            </w:pPr>
            <w:r>
              <w:rPr>
                <w:rFonts w:ascii="Arial" w:hAnsi="Arial"/>
                <w:b/>
                <w:sz w:val="14"/>
              </w:rPr>
              <w:t>1950 / 1966 / 1999</w:t>
            </w:r>
          </w:p>
        </w:tc>
        <w:tc>
          <w:tcPr>
            <w:tcW w:type="dxa" w:w="3456"/>
            <w:tcMar>
              <w:top w:w="55" w:type="dxa"/>
              <w:start w:w="70" w:type="dxa"/>
              <w:bottom w:w="55" w:type="dxa"/>
              <w:end w:w="70" w:type="dxa"/>
            </w:tcMar>
            <w:vAlign w:val="top"/>
          </w:tcPr>
          <w:p>
            <w:pPr>
              <w:spacing w:after="10" w:line="240" w:lineRule="auto"/>
            </w:pPr>
            <w:r>
              <w:rPr>
                <w:rFonts w:ascii="Arial" w:hAnsi="Arial"/>
                <w:sz w:val="14"/>
              </w:rPr>
              <w:t>Incorporated; BSE listing; NSE listing</w:t>
            </w:r>
          </w:p>
        </w:tc>
        <w:tc>
          <w:tcPr>
            <w:tcW w:type="dxa" w:w="5544"/>
            <w:tcMar>
              <w:top w:w="55" w:type="dxa"/>
              <w:start w:w="70" w:type="dxa"/>
              <w:bottom w:w="55" w:type="dxa"/>
              <w:end w:w="70" w:type="dxa"/>
            </w:tcMar>
            <w:vAlign w:val="top"/>
          </w:tcPr>
          <w:p>
            <w:pPr>
              <w:spacing w:after="10" w:line="240" w:lineRule="auto"/>
            </w:pPr>
            <w:r>
              <w:rPr>
                <w:rFonts w:ascii="Arial" w:hAnsi="Arial"/>
                <w:sz w:val="14"/>
              </w:rPr>
              <w:t>Created the listed operating platform.</w:t>
            </w:r>
          </w:p>
        </w:tc>
      </w:tr>
      <w:tr>
        <w:trPr>
          <w:cantSplit/>
        </w:trPr>
        <w:tc>
          <w:tcPr>
            <w:tcW w:type="dxa" w:w="1656"/>
            <w:shd w:fill="F7F7F7"/>
            <w:tcMar>
              <w:top w:w="55" w:type="dxa"/>
              <w:start w:w="70" w:type="dxa"/>
              <w:bottom w:w="55" w:type="dxa"/>
              <w:end w:w="70" w:type="dxa"/>
            </w:tcMar>
            <w:vAlign w:val="top"/>
          </w:tcPr>
          <w:p>
            <w:pPr>
              <w:spacing w:after="10" w:line="240" w:lineRule="auto"/>
            </w:pPr>
            <w:r>
              <w:rPr>
                <w:rFonts w:ascii="Arial" w:hAnsi="Arial"/>
                <w:b/>
                <w:sz w:val="14"/>
              </w:rPr>
              <w:t>2001</w:t>
            </w:r>
          </w:p>
        </w:tc>
        <w:tc>
          <w:tcPr>
            <w:tcW w:type="dxa" w:w="3456"/>
            <w:shd w:fill="F7F7F7"/>
            <w:tcMar>
              <w:top w:w="55" w:type="dxa"/>
              <w:start w:w="70" w:type="dxa"/>
              <w:bottom w:w="55" w:type="dxa"/>
              <w:end w:w="70" w:type="dxa"/>
            </w:tcMar>
            <w:vAlign w:val="top"/>
          </w:tcPr>
          <w:p>
            <w:pPr>
              <w:spacing w:after="10" w:line="240" w:lineRule="auto"/>
            </w:pPr>
            <w:r>
              <w:rPr>
                <w:rFonts w:ascii="Arial" w:hAnsi="Arial"/>
                <w:sz w:val="14"/>
              </w:rPr>
              <w:t>Parke-Davis (India) amalgamated</w:t>
            </w:r>
          </w:p>
        </w:tc>
        <w:tc>
          <w:tcPr>
            <w:tcW w:type="dxa" w:w="5544"/>
            <w:shd w:fill="F7F7F7"/>
            <w:tcMar>
              <w:top w:w="55" w:type="dxa"/>
              <w:start w:w="70" w:type="dxa"/>
              <w:bottom w:w="55" w:type="dxa"/>
              <w:end w:w="70" w:type="dxa"/>
            </w:tcMar>
            <w:vAlign w:val="top"/>
          </w:tcPr>
          <w:p>
            <w:pPr>
              <w:spacing w:after="10" w:line="240" w:lineRule="auto"/>
            </w:pPr>
            <w:r>
              <w:rPr>
                <w:rFonts w:ascii="Arial" w:hAnsi="Arial"/>
                <w:sz w:val="14"/>
              </w:rPr>
              <w:t>Added Warner-Lambert brands and scale.</w:t>
            </w:r>
          </w:p>
        </w:tc>
      </w:tr>
      <w:tr>
        <w:trPr>
          <w:cantSplit/>
        </w:trPr>
        <w:tc>
          <w:tcPr>
            <w:tcW w:type="dxa" w:w="1656"/>
            <w:tcMar>
              <w:top w:w="55" w:type="dxa"/>
              <w:start w:w="70" w:type="dxa"/>
              <w:bottom w:w="55" w:type="dxa"/>
              <w:end w:w="70" w:type="dxa"/>
            </w:tcMar>
            <w:vAlign w:val="top"/>
          </w:tcPr>
          <w:p>
            <w:pPr>
              <w:spacing w:after="10" w:line="240" w:lineRule="auto"/>
            </w:pPr>
            <w:r>
              <w:rPr>
                <w:rFonts w:ascii="Arial" w:hAnsi="Arial"/>
                <w:b/>
                <w:sz w:val="14"/>
              </w:rPr>
              <w:t>2002</w:t>
            </w:r>
          </w:p>
        </w:tc>
        <w:tc>
          <w:tcPr>
            <w:tcW w:type="dxa" w:w="3456"/>
            <w:tcMar>
              <w:top w:w="55" w:type="dxa"/>
              <w:start w:w="70" w:type="dxa"/>
              <w:bottom w:w="55" w:type="dxa"/>
              <w:end w:w="70" w:type="dxa"/>
            </w:tcMar>
            <w:vAlign w:val="top"/>
          </w:tcPr>
          <w:p>
            <w:pPr>
              <w:spacing w:after="10" w:line="240" w:lineRule="auto"/>
            </w:pPr>
            <w:r>
              <w:rPr>
                <w:rFonts w:ascii="Arial" w:hAnsi="Arial"/>
                <w:sz w:val="14"/>
              </w:rPr>
              <w:t>Goa tablet plant commissioned</w:t>
            </w:r>
          </w:p>
        </w:tc>
        <w:tc>
          <w:tcPr>
            <w:tcW w:type="dxa" w:w="5544"/>
            <w:tcMar>
              <w:top w:w="55" w:type="dxa"/>
              <w:start w:w="70" w:type="dxa"/>
              <w:bottom w:w="55" w:type="dxa"/>
              <w:end w:w="70" w:type="dxa"/>
            </w:tcMar>
            <w:vAlign w:val="top"/>
          </w:tcPr>
          <w:p>
            <w:pPr>
              <w:spacing w:after="10" w:line="240" w:lineRule="auto"/>
            </w:pPr>
            <w:r>
              <w:rPr>
                <w:rFonts w:ascii="Arial" w:hAnsi="Arial"/>
                <w:sz w:val="14"/>
              </w:rPr>
              <w:t>Established low-capital local supply for selected brands.</w:t>
            </w:r>
          </w:p>
        </w:tc>
      </w:tr>
      <w:tr>
        <w:trPr>
          <w:cantSplit/>
        </w:trPr>
        <w:tc>
          <w:tcPr>
            <w:tcW w:type="dxa" w:w="1656"/>
            <w:shd w:fill="F7F7F7"/>
            <w:tcMar>
              <w:top w:w="55" w:type="dxa"/>
              <w:start w:w="70" w:type="dxa"/>
              <w:bottom w:w="55" w:type="dxa"/>
              <w:end w:w="70" w:type="dxa"/>
            </w:tcMar>
            <w:vAlign w:val="top"/>
          </w:tcPr>
          <w:p>
            <w:pPr>
              <w:spacing w:after="10" w:line="240" w:lineRule="auto"/>
            </w:pPr>
            <w:r>
              <w:rPr>
                <w:rFonts w:ascii="Arial" w:hAnsi="Arial"/>
                <w:b/>
                <w:sz w:val="14"/>
              </w:rPr>
              <w:t>2003</w:t>
            </w:r>
          </w:p>
        </w:tc>
        <w:tc>
          <w:tcPr>
            <w:tcW w:type="dxa" w:w="3456"/>
            <w:shd w:fill="F7F7F7"/>
            <w:tcMar>
              <w:top w:w="55" w:type="dxa"/>
              <w:start w:w="70" w:type="dxa"/>
              <w:bottom w:w="55" w:type="dxa"/>
              <w:end w:w="70" w:type="dxa"/>
            </w:tcMar>
            <w:vAlign w:val="top"/>
          </w:tcPr>
          <w:p>
            <w:pPr>
              <w:spacing w:after="10" w:line="240" w:lineRule="auto"/>
            </w:pPr>
            <w:r>
              <w:rPr>
                <w:rFonts w:ascii="Arial" w:hAnsi="Arial"/>
                <w:sz w:val="14"/>
              </w:rPr>
              <w:t>Pharmacia Healthcare amalgamated</w:t>
            </w:r>
          </w:p>
        </w:tc>
        <w:tc>
          <w:tcPr>
            <w:tcW w:type="dxa" w:w="5544"/>
            <w:shd w:fill="F7F7F7"/>
            <w:tcMar>
              <w:top w:w="55" w:type="dxa"/>
              <w:start w:w="70" w:type="dxa"/>
              <w:bottom w:w="55" w:type="dxa"/>
              <w:end w:w="70" w:type="dxa"/>
            </w:tcMar>
            <w:vAlign w:val="top"/>
          </w:tcPr>
          <w:p>
            <w:pPr>
              <w:spacing w:after="10" w:line="240" w:lineRule="auto"/>
            </w:pPr>
            <w:r>
              <w:rPr>
                <w:rFonts w:ascii="Arial" w:hAnsi="Arial"/>
                <w:sz w:val="14"/>
              </w:rPr>
              <w:t>Added brands and integrated global acquisition effects.</w:t>
            </w:r>
          </w:p>
        </w:tc>
      </w:tr>
      <w:tr>
        <w:trPr>
          <w:cantSplit/>
        </w:trPr>
        <w:tc>
          <w:tcPr>
            <w:tcW w:type="dxa" w:w="1656"/>
            <w:tcMar>
              <w:top w:w="55" w:type="dxa"/>
              <w:start w:w="70" w:type="dxa"/>
              <w:bottom w:w="55" w:type="dxa"/>
              <w:end w:w="70" w:type="dxa"/>
            </w:tcMar>
            <w:vAlign w:val="top"/>
          </w:tcPr>
          <w:p>
            <w:pPr>
              <w:spacing w:after="10" w:line="240" w:lineRule="auto"/>
            </w:pPr>
            <w:r>
              <w:rPr>
                <w:rFonts w:ascii="Arial" w:hAnsi="Arial"/>
                <w:b/>
                <w:sz w:val="14"/>
              </w:rPr>
              <w:t>2014</w:t>
            </w:r>
          </w:p>
        </w:tc>
        <w:tc>
          <w:tcPr>
            <w:tcW w:type="dxa" w:w="3456"/>
            <w:tcMar>
              <w:top w:w="55" w:type="dxa"/>
              <w:start w:w="70" w:type="dxa"/>
              <w:bottom w:w="55" w:type="dxa"/>
              <w:end w:w="70" w:type="dxa"/>
            </w:tcMar>
            <w:vAlign w:val="top"/>
          </w:tcPr>
          <w:p>
            <w:pPr>
              <w:spacing w:after="10" w:line="240" w:lineRule="auto"/>
            </w:pPr>
            <w:r>
              <w:rPr>
                <w:rFonts w:ascii="Arial" w:hAnsi="Arial"/>
                <w:sz w:val="14"/>
              </w:rPr>
              <w:t>Wyeth Limited amalgamated effective 1 Apr 2014</w:t>
            </w:r>
          </w:p>
        </w:tc>
        <w:tc>
          <w:tcPr>
            <w:tcW w:type="dxa" w:w="5544"/>
            <w:tcMar>
              <w:top w:w="55" w:type="dxa"/>
              <w:start w:w="70" w:type="dxa"/>
              <w:bottom w:w="55" w:type="dxa"/>
              <w:end w:w="70" w:type="dxa"/>
            </w:tcMar>
            <w:vAlign w:val="top"/>
          </w:tcPr>
          <w:p>
            <w:pPr>
              <w:spacing w:after="10" w:line="240" w:lineRule="auto"/>
            </w:pPr>
            <w:r>
              <w:rPr>
                <w:rFonts w:ascii="Arial" w:hAnsi="Arial"/>
                <w:sz w:val="14"/>
              </w:rPr>
              <w:t>Added Prevenar and women’s health. This remains the strongest precedent for listed access through corporate merger.</w:t>
            </w:r>
          </w:p>
        </w:tc>
      </w:tr>
      <w:tr>
        <w:trPr>
          <w:cantSplit/>
        </w:trPr>
        <w:tc>
          <w:tcPr>
            <w:tcW w:type="dxa" w:w="1656"/>
            <w:shd w:fill="F7F7F7"/>
            <w:tcMar>
              <w:top w:w="55" w:type="dxa"/>
              <w:start w:w="70" w:type="dxa"/>
              <w:bottom w:w="55" w:type="dxa"/>
              <w:end w:w="70" w:type="dxa"/>
            </w:tcMar>
            <w:vAlign w:val="top"/>
          </w:tcPr>
          <w:p>
            <w:pPr>
              <w:spacing w:after="10" w:line="240" w:lineRule="auto"/>
            </w:pPr>
            <w:r>
              <w:rPr>
                <w:rFonts w:ascii="Arial" w:hAnsi="Arial"/>
                <w:b/>
                <w:sz w:val="14"/>
              </w:rPr>
              <w:t>Aug 2022</w:t>
            </w:r>
          </w:p>
        </w:tc>
        <w:tc>
          <w:tcPr>
            <w:tcW w:type="dxa" w:w="3456"/>
            <w:shd w:fill="F7F7F7"/>
            <w:tcMar>
              <w:top w:w="55" w:type="dxa"/>
              <w:start w:w="70" w:type="dxa"/>
              <w:bottom w:w="55" w:type="dxa"/>
              <w:end w:w="70" w:type="dxa"/>
            </w:tcMar>
            <w:vAlign w:val="top"/>
          </w:tcPr>
          <w:p>
            <w:pPr>
              <w:spacing w:after="10" w:line="240" w:lineRule="auto"/>
            </w:pPr>
            <w:r>
              <w:rPr>
                <w:rFonts w:ascii="Arial" w:hAnsi="Arial"/>
                <w:sz w:val="14"/>
              </w:rPr>
              <w:t>Upjohn undertaking transferred to Mylan for ₹180.48cr</w:t>
            </w:r>
          </w:p>
        </w:tc>
        <w:tc>
          <w:tcPr>
            <w:tcW w:type="dxa" w:w="5544"/>
            <w:shd w:fill="F7F7F7"/>
            <w:tcMar>
              <w:top w:w="55" w:type="dxa"/>
              <w:start w:w="70" w:type="dxa"/>
              <w:bottom w:w="55" w:type="dxa"/>
              <w:end w:w="70" w:type="dxa"/>
            </w:tcMar>
            <w:vAlign w:val="top"/>
          </w:tcPr>
          <w:p>
            <w:pPr>
              <w:spacing w:after="10" w:line="240" w:lineRule="auto"/>
            </w:pPr>
            <w:r>
              <w:rPr>
                <w:rFonts w:ascii="Arial" w:hAnsi="Arial"/>
                <w:sz w:val="14"/>
              </w:rPr>
              <w:t>Removed Lyrica, Viagra, Celebrex, Amlogard, Daxid and Dilantin. FY23 gain ₹188.92cr was non-recurring.</w:t>
            </w:r>
          </w:p>
        </w:tc>
      </w:tr>
      <w:tr>
        <w:trPr>
          <w:cantSplit/>
        </w:trPr>
        <w:tc>
          <w:tcPr>
            <w:tcW w:type="dxa" w:w="1656"/>
            <w:tcMar>
              <w:top w:w="55" w:type="dxa"/>
              <w:start w:w="70" w:type="dxa"/>
              <w:bottom w:w="55" w:type="dxa"/>
              <w:end w:w="70" w:type="dxa"/>
            </w:tcMar>
            <w:vAlign w:val="top"/>
          </w:tcPr>
          <w:p>
            <w:pPr>
              <w:spacing w:after="10" w:line="240" w:lineRule="auto"/>
            </w:pPr>
            <w:r>
              <w:rPr>
                <w:rFonts w:ascii="Arial" w:hAnsi="Arial"/>
                <w:b/>
                <w:sz w:val="14"/>
              </w:rPr>
              <w:t>Feb 2023</w:t>
            </w:r>
          </w:p>
        </w:tc>
        <w:tc>
          <w:tcPr>
            <w:tcW w:type="dxa" w:w="3456"/>
            <w:tcMar>
              <w:top w:w="55" w:type="dxa"/>
              <w:start w:w="70" w:type="dxa"/>
              <w:bottom w:w="55" w:type="dxa"/>
              <w:end w:w="70" w:type="dxa"/>
            </w:tcMar>
            <w:vAlign w:val="top"/>
          </w:tcPr>
          <w:p>
            <w:pPr>
              <w:spacing w:after="10" w:line="240" w:lineRule="auto"/>
            </w:pPr>
            <w:r>
              <w:rPr>
                <w:rFonts w:ascii="Arial" w:hAnsi="Arial"/>
                <w:sz w:val="14"/>
              </w:rPr>
              <w:t>Thane business undertaking sale completed</w:t>
            </w:r>
          </w:p>
        </w:tc>
        <w:tc>
          <w:tcPr>
            <w:tcW w:type="dxa" w:w="5544"/>
            <w:tcMar>
              <w:top w:w="55" w:type="dxa"/>
              <w:start w:w="70" w:type="dxa"/>
              <w:bottom w:w="55" w:type="dxa"/>
              <w:end w:w="70" w:type="dxa"/>
            </w:tcMar>
            <w:vAlign w:val="top"/>
          </w:tcPr>
          <w:p>
            <w:pPr>
              <w:spacing w:after="10" w:line="240" w:lineRule="auto"/>
            </w:pPr>
            <w:r>
              <w:rPr>
                <w:rFonts w:ascii="Arial" w:hAnsi="Arial"/>
                <w:sz w:val="14"/>
              </w:rPr>
              <w:t>Removed owned manufacturing; FY23 gain ₹67.12cr.</w:t>
            </w:r>
          </w:p>
        </w:tc>
      </w:tr>
      <w:tr>
        <w:trPr>
          <w:cantSplit/>
        </w:trPr>
        <w:tc>
          <w:tcPr>
            <w:tcW w:type="dxa" w:w="1656"/>
            <w:shd w:fill="F7F7F7"/>
            <w:tcMar>
              <w:top w:w="55" w:type="dxa"/>
              <w:start w:w="70" w:type="dxa"/>
              <w:bottom w:w="55" w:type="dxa"/>
              <w:end w:w="70" w:type="dxa"/>
            </w:tcMar>
            <w:vAlign w:val="top"/>
          </w:tcPr>
          <w:p>
            <w:pPr>
              <w:spacing w:after="10" w:line="240" w:lineRule="auto"/>
            </w:pPr>
            <w:r>
              <w:rPr>
                <w:rFonts w:ascii="Arial" w:hAnsi="Arial"/>
                <w:b/>
                <w:sz w:val="14"/>
              </w:rPr>
              <w:t>FY25</w:t>
            </w:r>
          </w:p>
        </w:tc>
        <w:tc>
          <w:tcPr>
            <w:tcW w:type="dxa" w:w="3456"/>
            <w:shd w:fill="F7F7F7"/>
            <w:tcMar>
              <w:top w:w="55" w:type="dxa"/>
              <w:start w:w="70" w:type="dxa"/>
              <w:bottom w:w="55" w:type="dxa"/>
              <w:end w:w="70" w:type="dxa"/>
            </w:tcMar>
            <w:vAlign w:val="top"/>
          </w:tcPr>
          <w:p>
            <w:pPr>
              <w:spacing w:after="10" w:line="240" w:lineRule="auto"/>
            </w:pPr>
            <w:r>
              <w:rPr>
                <w:rFonts w:ascii="Arial" w:hAnsi="Arial"/>
                <w:sz w:val="14"/>
              </w:rPr>
              <w:t>Thane leasehold rights/building sold to Zoetis</w:t>
            </w:r>
          </w:p>
        </w:tc>
        <w:tc>
          <w:tcPr>
            <w:tcW w:type="dxa" w:w="5544"/>
            <w:shd w:fill="F7F7F7"/>
            <w:tcMar>
              <w:top w:w="55" w:type="dxa"/>
              <w:start w:w="70" w:type="dxa"/>
              <w:bottom w:w="55" w:type="dxa"/>
              <w:end w:w="70" w:type="dxa"/>
            </w:tcMar>
            <w:vAlign w:val="top"/>
          </w:tcPr>
          <w:p>
            <w:pPr>
              <w:spacing w:after="10" w:line="240" w:lineRule="auto"/>
            </w:pPr>
            <w:r>
              <w:rPr>
                <w:rFonts w:ascii="Arial" w:hAnsi="Arial"/>
                <w:sz w:val="14"/>
              </w:rPr>
              <w:t>₹172.81cr exceptional gain and a special dividend.</w:t>
            </w:r>
          </w:p>
        </w:tc>
      </w:tr>
      <w:tr>
        <w:trPr>
          <w:cantSplit/>
        </w:trPr>
        <w:tc>
          <w:tcPr>
            <w:tcW w:type="dxa" w:w="1656"/>
            <w:tcMar>
              <w:top w:w="55" w:type="dxa"/>
              <w:start w:w="70" w:type="dxa"/>
              <w:bottom w:w="55" w:type="dxa"/>
              <w:end w:w="70" w:type="dxa"/>
            </w:tcMar>
            <w:vAlign w:val="top"/>
          </w:tcPr>
          <w:p>
            <w:pPr>
              <w:spacing w:after="10" w:line="240" w:lineRule="auto"/>
            </w:pPr>
            <w:r>
              <w:rPr>
                <w:rFonts w:ascii="Arial" w:hAnsi="Arial"/>
                <w:b/>
                <w:sz w:val="14"/>
              </w:rPr>
              <w:t>FY26</w:t>
            </w:r>
          </w:p>
        </w:tc>
        <w:tc>
          <w:tcPr>
            <w:tcW w:type="dxa" w:w="3456"/>
            <w:tcMar>
              <w:top w:w="55" w:type="dxa"/>
              <w:start w:w="70" w:type="dxa"/>
              <w:bottom w:w="55" w:type="dxa"/>
              <w:end w:w="70" w:type="dxa"/>
            </w:tcMar>
            <w:vAlign w:val="top"/>
          </w:tcPr>
          <w:p>
            <w:pPr>
              <w:spacing w:after="10" w:line="240" w:lineRule="auto"/>
            </w:pPr>
            <w:r>
              <w:rPr>
                <w:rFonts w:ascii="Arial" w:hAnsi="Arial"/>
                <w:sz w:val="14"/>
              </w:rPr>
              <w:t>Cipla marketing/distribution partnership</w:t>
            </w:r>
          </w:p>
        </w:tc>
        <w:tc>
          <w:tcPr>
            <w:tcW w:type="dxa" w:w="5544"/>
            <w:tcMar>
              <w:top w:w="55" w:type="dxa"/>
              <w:start w:w="70" w:type="dxa"/>
              <w:bottom w:w="55" w:type="dxa"/>
              <w:end w:w="70" w:type="dxa"/>
            </w:tcMar>
            <w:vAlign w:val="top"/>
          </w:tcPr>
          <w:p>
            <w:pPr>
              <w:spacing w:after="10" w:line="240" w:lineRule="auto"/>
            </w:pPr>
            <w:r>
              <w:rPr>
                <w:rFonts w:ascii="Arial" w:hAnsi="Arial"/>
                <w:sz w:val="14"/>
              </w:rPr>
              <w:t>Moves four mature brands to a partner-led reach model; listed revenue remains but field-force cost was restructured.</w:t>
            </w:r>
          </w:p>
        </w:tc>
      </w:tr>
      <w:tr>
        <w:trPr>
          <w:cantSplit/>
        </w:trPr>
        <w:tc>
          <w:tcPr>
            <w:tcW w:type="dxa" w:w="1656"/>
            <w:shd w:fill="F7F7F7"/>
            <w:tcMar>
              <w:top w:w="55" w:type="dxa"/>
              <w:start w:w="70" w:type="dxa"/>
              <w:bottom w:w="55" w:type="dxa"/>
              <w:end w:w="70" w:type="dxa"/>
            </w:tcMar>
            <w:vAlign w:val="top"/>
          </w:tcPr>
          <w:p>
            <w:pPr>
              <w:spacing w:after="10" w:line="240" w:lineRule="auto"/>
            </w:pPr>
            <w:r>
              <w:rPr>
                <w:rFonts w:ascii="Arial" w:hAnsi="Arial"/>
                <w:b/>
                <w:sz w:val="14"/>
              </w:rPr>
              <w:t>Sep 2026</w:t>
            </w:r>
          </w:p>
        </w:tc>
        <w:tc>
          <w:tcPr>
            <w:tcW w:type="dxa" w:w="3456"/>
            <w:shd w:fill="F7F7F7"/>
            <w:tcMar>
              <w:top w:w="55" w:type="dxa"/>
              <w:start w:w="70" w:type="dxa"/>
              <w:bottom w:w="55" w:type="dxa"/>
              <w:end w:w="70" w:type="dxa"/>
            </w:tcMar>
            <w:vAlign w:val="top"/>
          </w:tcPr>
          <w:p>
            <w:pPr>
              <w:spacing w:after="10" w:line="240" w:lineRule="auto"/>
            </w:pPr>
            <w:r>
              <w:rPr>
                <w:rFonts w:ascii="Arial" w:hAnsi="Arial"/>
                <w:sz w:val="14"/>
              </w:rPr>
              <w:t>Minipress XL discontinued</w:t>
            </w:r>
          </w:p>
        </w:tc>
        <w:tc>
          <w:tcPr>
            <w:tcW w:type="dxa" w:w="5544"/>
            <w:shd w:fill="F7F7F7"/>
            <w:tcMar>
              <w:top w:w="55" w:type="dxa"/>
              <w:start w:w="70" w:type="dxa"/>
              <w:bottom w:w="55" w:type="dxa"/>
              <w:end w:w="70" w:type="dxa"/>
            </w:tcMar>
            <w:vAlign w:val="top"/>
          </w:tcPr>
          <w:p>
            <w:pPr>
              <w:spacing w:after="10" w:line="240" w:lineRule="auto"/>
            </w:pPr>
            <w:r>
              <w:rPr>
                <w:rFonts w:ascii="Arial" w:hAnsi="Arial"/>
                <w:sz w:val="14"/>
              </w:rPr>
              <w:t>Parent manufacturing decision removes listed revenue; listed company receives US$13.9m, about ₹131.38cr, non-recurring compensation.</w:t>
            </w:r>
          </w:p>
        </w:tc>
      </w:tr>
    </w:tbl>
    <w:p>
      <w:pPr>
        <w:pStyle w:val="Source"/>
      </w:pPr>
      <w:r>
        <w:t>Source: Pfizer FY25 Annual Report, pp. 10-24 [S23]; FY24 note 43 [S24]; FY23 transfer sections [S25]; Minipress filing [S5].</w:t>
      </w:r>
    </w:p>
    <w:p>
      <w:pPr>
        <w:pStyle w:val="Heading2"/>
      </w:pPr>
      <w:r>
        <w:t>Revenue perimeter: product sales plus affiliate services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880"/>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FY26 perimeter</w:t>
            </w:r>
          </w:p>
        </w:tc>
        <w:tc>
          <w:tcPr>
            <w:tcW w:type="dxa" w:w="1728"/>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 crore</w:t>
            </w:r>
          </w:p>
        </w:tc>
        <w:tc>
          <w:tcPr>
            <w:tcW w:type="dxa" w:w="1872"/>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Share</w:t>
            </w:r>
          </w:p>
        </w:tc>
        <w:tc>
          <w:tcPr>
            <w:tcW w:type="dxa" w:w="4320"/>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Status</w:t>
            </w:r>
          </w:p>
        </w:tc>
      </w:tr>
      <w:tr>
        <w:trPr>
          <w:cantSplit/>
        </w:trPr>
        <w:tc>
          <w:tcPr>
            <w:tcW w:type="dxa" w:w="2880"/>
            <w:tcMar>
              <w:top w:w="55" w:type="dxa"/>
              <w:start w:w="70" w:type="dxa"/>
              <w:bottom w:w="55" w:type="dxa"/>
              <w:end w:w="70" w:type="dxa"/>
            </w:tcMar>
            <w:vAlign w:val="top"/>
          </w:tcPr>
          <w:p>
            <w:pPr>
              <w:spacing w:after="10" w:line="240" w:lineRule="auto"/>
            </w:pPr>
            <w:r>
              <w:rPr>
                <w:rFonts w:ascii="Arial" w:hAnsi="Arial"/>
                <w:b/>
                <w:sz w:val="15"/>
              </w:rPr>
              <w:t>Sale of products</w:t>
            </w:r>
          </w:p>
        </w:tc>
        <w:tc>
          <w:tcPr>
            <w:tcW w:type="dxa" w:w="1728"/>
            <w:tcMar>
              <w:top w:w="55" w:type="dxa"/>
              <w:start w:w="70" w:type="dxa"/>
              <w:bottom w:w="55" w:type="dxa"/>
              <w:end w:w="70" w:type="dxa"/>
            </w:tcMar>
            <w:vAlign w:val="top"/>
          </w:tcPr>
          <w:p>
            <w:pPr>
              <w:spacing w:after="10" w:line="240" w:lineRule="auto"/>
            </w:pPr>
            <w:r>
              <w:rPr>
                <w:rFonts w:ascii="Arial" w:hAnsi="Arial"/>
                <w:sz w:val="15"/>
              </w:rPr>
              <w:t>2,377.11</w:t>
            </w:r>
          </w:p>
        </w:tc>
        <w:tc>
          <w:tcPr>
            <w:tcW w:type="dxa" w:w="1872"/>
            <w:tcMar>
              <w:top w:w="55" w:type="dxa"/>
              <w:start w:w="70" w:type="dxa"/>
              <w:bottom w:w="55" w:type="dxa"/>
              <w:end w:w="70" w:type="dxa"/>
            </w:tcMar>
            <w:vAlign w:val="top"/>
          </w:tcPr>
          <w:p>
            <w:pPr>
              <w:spacing w:after="10" w:line="240" w:lineRule="auto"/>
            </w:pPr>
            <w:r>
              <w:rPr>
                <w:rFonts w:ascii="Arial" w:hAnsi="Arial"/>
                <w:sz w:val="15"/>
              </w:rPr>
              <w:t>94.3%</w:t>
            </w:r>
          </w:p>
        </w:tc>
        <w:tc>
          <w:tcPr>
            <w:tcW w:type="dxa" w:w="4320"/>
            <w:tcMar>
              <w:top w:w="55" w:type="dxa"/>
              <w:start w:w="70" w:type="dxa"/>
              <w:bottom w:w="55" w:type="dxa"/>
              <w:end w:w="70" w:type="dxa"/>
            </w:tcMar>
            <w:vAlign w:val="top"/>
          </w:tcPr>
          <w:p>
            <w:pPr>
              <w:spacing w:after="10" w:line="240" w:lineRule="auto"/>
            </w:pPr>
            <w:r>
              <w:rPr>
                <w:rFonts w:ascii="Arial" w:hAnsi="Arial"/>
                <w:sz w:val="15"/>
              </w:rPr>
              <w:t>Reported</w:t>
            </w:r>
          </w:p>
        </w:tc>
      </w:tr>
      <w:tr>
        <w:trPr>
          <w:cantSplit/>
        </w:trPr>
        <w:tc>
          <w:tcPr>
            <w:tcW w:type="dxa" w:w="2880"/>
            <w:shd w:fill="F7F7F7"/>
            <w:tcMar>
              <w:top w:w="55" w:type="dxa"/>
              <w:start w:w="70" w:type="dxa"/>
              <w:bottom w:w="55" w:type="dxa"/>
              <w:end w:w="70" w:type="dxa"/>
            </w:tcMar>
            <w:vAlign w:val="top"/>
          </w:tcPr>
          <w:p>
            <w:pPr>
              <w:spacing w:after="10" w:line="240" w:lineRule="auto"/>
            </w:pPr>
            <w:r>
              <w:rPr>
                <w:rFonts w:ascii="Arial" w:hAnsi="Arial"/>
                <w:b/>
                <w:sz w:val="15"/>
              </w:rPr>
              <w:t>Other operating income</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5"/>
              </w:rPr>
              <w:t>142.54</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5"/>
              </w:rPr>
              <w:t>5.7%</w:t>
            </w:r>
          </w:p>
        </w:tc>
        <w:tc>
          <w:tcPr>
            <w:tcW w:type="dxa" w:w="4320"/>
            <w:shd w:fill="F7F7F7"/>
            <w:tcMar>
              <w:top w:w="55" w:type="dxa"/>
              <w:start w:w="70" w:type="dxa"/>
              <w:bottom w:w="55" w:type="dxa"/>
              <w:end w:w="70" w:type="dxa"/>
            </w:tcMar>
            <w:vAlign w:val="top"/>
          </w:tcPr>
          <w:p>
            <w:pPr>
              <w:spacing w:after="10" w:line="240" w:lineRule="auto"/>
            </w:pPr>
            <w:r>
              <w:rPr>
                <w:rFonts w:ascii="Arial" w:hAnsi="Arial"/>
                <w:sz w:val="15"/>
              </w:rPr>
              <w:t>Reported; substantially affiliate services</w:t>
            </w:r>
          </w:p>
        </w:tc>
      </w:tr>
      <w:tr>
        <w:trPr>
          <w:cantSplit/>
        </w:trPr>
        <w:tc>
          <w:tcPr>
            <w:tcW w:type="dxa" w:w="2880"/>
            <w:tcMar>
              <w:top w:w="55" w:type="dxa"/>
              <w:start w:w="70" w:type="dxa"/>
              <w:bottom w:w="55" w:type="dxa"/>
              <w:end w:w="70" w:type="dxa"/>
            </w:tcMar>
            <w:vAlign w:val="top"/>
          </w:tcPr>
          <w:p>
            <w:pPr>
              <w:spacing w:after="10" w:line="240" w:lineRule="auto"/>
            </w:pPr>
            <w:r>
              <w:rPr>
                <w:rFonts w:ascii="Arial" w:hAnsi="Arial"/>
                <w:b/>
                <w:sz w:val="15"/>
              </w:rPr>
              <w:t>Revenue from operations</w:t>
            </w:r>
          </w:p>
        </w:tc>
        <w:tc>
          <w:tcPr>
            <w:tcW w:type="dxa" w:w="1728"/>
            <w:tcMar>
              <w:top w:w="55" w:type="dxa"/>
              <w:start w:w="70" w:type="dxa"/>
              <w:bottom w:w="55" w:type="dxa"/>
              <w:end w:w="70" w:type="dxa"/>
            </w:tcMar>
            <w:vAlign w:val="top"/>
          </w:tcPr>
          <w:p>
            <w:pPr>
              <w:spacing w:after="10" w:line="240" w:lineRule="auto"/>
            </w:pPr>
            <w:r>
              <w:rPr>
                <w:rFonts w:ascii="Arial" w:hAnsi="Arial"/>
                <w:sz w:val="15"/>
              </w:rPr>
              <w:t>2,519.65</w:t>
            </w:r>
          </w:p>
        </w:tc>
        <w:tc>
          <w:tcPr>
            <w:tcW w:type="dxa" w:w="1872"/>
            <w:tcMar>
              <w:top w:w="55" w:type="dxa"/>
              <w:start w:w="70" w:type="dxa"/>
              <w:bottom w:w="55" w:type="dxa"/>
              <w:end w:w="70" w:type="dxa"/>
            </w:tcMar>
            <w:vAlign w:val="top"/>
          </w:tcPr>
          <w:p>
            <w:pPr>
              <w:spacing w:after="10" w:line="240" w:lineRule="auto"/>
            </w:pPr>
            <w:r>
              <w:rPr>
                <w:rFonts w:ascii="Arial" w:hAnsi="Arial"/>
                <w:sz w:val="15"/>
              </w:rPr>
              <w:t>100.0%</w:t>
            </w:r>
          </w:p>
        </w:tc>
        <w:tc>
          <w:tcPr>
            <w:tcW w:type="dxa" w:w="4320"/>
            <w:tcMar>
              <w:top w:w="55" w:type="dxa"/>
              <w:start w:w="70" w:type="dxa"/>
              <w:bottom w:w="55" w:type="dxa"/>
              <w:end w:w="70" w:type="dxa"/>
            </w:tcMar>
            <w:vAlign w:val="top"/>
          </w:tcPr>
          <w:p>
            <w:pPr>
              <w:spacing w:after="10" w:line="240" w:lineRule="auto"/>
            </w:pPr>
            <w:r>
              <w:rPr>
                <w:rFonts w:ascii="Arial" w:hAnsi="Arial"/>
                <w:sz w:val="15"/>
              </w:rPr>
              <w:t>Reported</w:t>
            </w:r>
          </w:p>
        </w:tc>
      </w:tr>
      <w:tr>
        <w:trPr>
          <w:cantSplit/>
        </w:trPr>
        <w:tc>
          <w:tcPr>
            <w:tcW w:type="dxa" w:w="2880"/>
            <w:shd w:fill="F7F7F7"/>
            <w:tcMar>
              <w:top w:w="55" w:type="dxa"/>
              <w:start w:w="70" w:type="dxa"/>
              <w:bottom w:w="55" w:type="dxa"/>
              <w:end w:w="70" w:type="dxa"/>
            </w:tcMar>
            <w:vAlign w:val="top"/>
          </w:tcPr>
          <w:p>
            <w:pPr>
              <w:spacing w:after="10" w:line="240" w:lineRule="auto"/>
            </w:pPr>
            <w:r>
              <w:rPr>
                <w:rFonts w:ascii="Arial" w:hAnsi="Arial"/>
                <w:b/>
                <w:sz w:val="15"/>
              </w:rPr>
              <w:t>Other income</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5"/>
              </w:rPr>
              <w:t>187.95</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5"/>
              </w:rPr>
              <w:t>7.5% of revenue</w:t>
            </w:r>
          </w:p>
        </w:tc>
        <w:tc>
          <w:tcPr>
            <w:tcW w:type="dxa" w:w="4320"/>
            <w:shd w:fill="F7F7F7"/>
            <w:tcMar>
              <w:top w:w="55" w:type="dxa"/>
              <w:start w:w="70" w:type="dxa"/>
              <w:bottom w:w="55" w:type="dxa"/>
              <w:end w:w="70" w:type="dxa"/>
            </w:tcMar>
            <w:vAlign w:val="top"/>
          </w:tcPr>
          <w:p>
            <w:pPr>
              <w:spacing w:after="10" w:line="240" w:lineRule="auto"/>
            </w:pPr>
            <w:r>
              <w:rPr>
                <w:rFonts w:ascii="Arial" w:hAnsi="Arial"/>
                <w:sz w:val="15"/>
              </w:rPr>
              <w:t>Treasury and non-operating</w:t>
            </w:r>
          </w:p>
        </w:tc>
      </w:tr>
      <w:tr>
        <w:trPr>
          <w:cantSplit/>
        </w:trPr>
        <w:tc>
          <w:tcPr>
            <w:tcW w:type="dxa" w:w="2880"/>
            <w:tcMar>
              <w:top w:w="55" w:type="dxa"/>
              <w:start w:w="70" w:type="dxa"/>
              <w:bottom w:w="55" w:type="dxa"/>
              <w:end w:w="70" w:type="dxa"/>
            </w:tcMar>
            <w:vAlign w:val="top"/>
          </w:tcPr>
          <w:p>
            <w:pPr>
              <w:spacing w:after="10" w:line="240" w:lineRule="auto"/>
            </w:pPr>
            <w:r>
              <w:rPr>
                <w:rFonts w:ascii="Arial" w:hAnsi="Arial"/>
                <w:b/>
                <w:sz w:val="15"/>
              </w:rPr>
              <w:t>Exports</w:t>
            </w:r>
          </w:p>
        </w:tc>
        <w:tc>
          <w:tcPr>
            <w:tcW w:type="dxa" w:w="1728"/>
            <w:tcMar>
              <w:top w:w="55" w:type="dxa"/>
              <w:start w:w="70" w:type="dxa"/>
              <w:bottom w:w="55" w:type="dxa"/>
              <w:end w:w="70" w:type="dxa"/>
            </w:tcMar>
            <w:vAlign w:val="top"/>
          </w:tcPr>
          <w:p>
            <w:pPr>
              <w:spacing w:after="10" w:line="240" w:lineRule="auto"/>
            </w:pPr>
            <w:r>
              <w:rPr>
                <w:rFonts w:ascii="Arial" w:hAnsi="Arial"/>
                <w:sz w:val="15"/>
              </w:rPr>
              <w:t>~95.7</w:t>
            </w:r>
          </w:p>
        </w:tc>
        <w:tc>
          <w:tcPr>
            <w:tcW w:type="dxa" w:w="1872"/>
            <w:tcMar>
              <w:top w:w="55" w:type="dxa"/>
              <w:start w:w="70" w:type="dxa"/>
              <w:bottom w:w="55" w:type="dxa"/>
              <w:end w:w="70" w:type="dxa"/>
            </w:tcMar>
            <w:vAlign w:val="top"/>
          </w:tcPr>
          <w:p>
            <w:pPr>
              <w:spacing w:after="10" w:line="240" w:lineRule="auto"/>
            </w:pPr>
            <w:r>
              <w:rPr>
                <w:rFonts w:ascii="Arial" w:hAnsi="Arial"/>
                <w:sz w:val="15"/>
              </w:rPr>
              <w:t>3.8% of turnover</w:t>
            </w:r>
          </w:p>
        </w:tc>
        <w:tc>
          <w:tcPr>
            <w:tcW w:type="dxa" w:w="4320"/>
            <w:tcMar>
              <w:top w:w="55" w:type="dxa"/>
              <w:start w:w="70" w:type="dxa"/>
              <w:bottom w:w="55" w:type="dxa"/>
              <w:end w:w="70" w:type="dxa"/>
            </w:tcMar>
            <w:vAlign w:val="top"/>
          </w:tcPr>
          <w:p>
            <w:pPr>
              <w:spacing w:after="10" w:line="240" w:lineRule="auto"/>
            </w:pPr>
            <w:r>
              <w:rPr>
                <w:rFonts w:ascii="Arial" w:hAnsi="Arial"/>
                <w:sz w:val="15"/>
              </w:rPr>
              <w:t>Calculated from disclosed percentage; products/services split not disclosed</w:t>
            </w:r>
          </w:p>
        </w:tc>
      </w:tr>
    </w:tbl>
    <w:p>
      <w:pPr>
        <w:pStyle w:val="ExhibitTitle"/>
      </w:pPr>
      <w:r>
        <w:t>Exhibit 2. The economics are overwhelmingly product sales, but affiliate services equal most “other operating income”</w:t>
      </w:r>
    </w:p>
    <w:p>
      <w:r>
        <w:rPr>
          <w:color w:val="59636E"/>
          <w:sz w:val="15"/>
        </w:rPr>
        <w:t>Service income makes the listed company operationally connected to private affiliates without granting ownership of their product revenue.</w:t>
      </w:r>
    </w:p>
    <w:p>
      <w:pPr>
        <w:pStyle w:val="Source"/>
      </w:pPr>
      <w:r>
        <w:t>Source: Pfizer FY26 Annual Report, pp. 48 and notes 22, 36, 44 [S1].</w:t>
      </w:r>
    </w:p>
    <w:p>
      <w:r>
        <w:t>The accounts are standalone. The company reports one operating segment, Pharmaceuticals. No subsidiary, associate or joint venture is consolidated. Product revenue is recorded net of returns, trade discounts and taxes collected on behalf of government. Domestic formulation sales dominate. A clean split between domestic formulations, vaccines, institutional sales and exports is not disclosed. [S1, pp. 168-226]</w:t>
      </w:r>
    </w:p>
    <w:p>
      <w:r>
        <w:t>Brand and marketing-authorisation ownership is mixed. Official price lists establish that Pfizer Limited markets a broad portfolio. The Minipress transaction proves that Pfizer Inc. or another group company can own underlying trademarks while the listed company holds India commercial economics. Official PPIPL labels prove that some Pfizer products are marketed by a private affiliate. No royalty line is separately disclosed; related-party economics flow mainly through product purchases, raw-material purchases and service income. [S1; S4; S5; S9-S15]</w:t>
      </w:r>
    </w:p>
    <w:p>
      <w:pPr>
        <w:pStyle w:val="Heading1"/>
      </w:pPr>
      <w:r>
        <w:t>PART II: Product portfolio</w:t>
      </w:r>
    </w:p>
    <w:p>
      <w:pPr>
        <w:pStyle w:val="Heading2"/>
      </w:pPr>
      <w:r>
        <w:t>Product database: audited total, estimated franchise allocation</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368"/>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Brand</w:t>
            </w:r>
          </w:p>
        </w:tc>
        <w:tc>
          <w:tcPr>
            <w:tcW w:type="dxa" w:w="1440"/>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Molecule</w:t>
            </w:r>
          </w:p>
        </w:tc>
        <w:tc>
          <w:tcPr>
            <w:tcW w:type="dxa" w:w="1728"/>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Indication / therapy</w:t>
            </w:r>
          </w:p>
        </w:tc>
        <w:tc>
          <w:tcPr>
            <w:tcW w:type="dxa" w:w="1440"/>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India marketer</w:t>
            </w:r>
          </w:p>
        </w:tc>
        <w:tc>
          <w:tcPr>
            <w:tcW w:type="dxa" w:w="1440"/>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Source</w:t>
            </w:r>
          </w:p>
        </w:tc>
        <w:tc>
          <w:tcPr>
            <w:tcW w:type="dxa" w:w="1296"/>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Sales</w:t>
            </w:r>
          </w:p>
        </w:tc>
        <w:tc>
          <w:tcPr>
            <w:tcW w:type="dxa" w:w="1800"/>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Latest evidence</w:t>
            </w:r>
          </w:p>
        </w:tc>
        <w:tc>
          <w:tcPr>
            <w:tcW w:type="dxa" w:w="1440"/>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Role</w:t>
            </w:r>
          </w:p>
        </w:tc>
      </w:tr>
      <w:tr>
        <w:trPr>
          <w:cantSplit/>
        </w:trPr>
        <w:tc>
          <w:tcPr>
            <w:tcW w:type="dxa" w:w="1368"/>
            <w:tcMar>
              <w:top w:w="55" w:type="dxa"/>
              <w:start w:w="70" w:type="dxa"/>
              <w:bottom w:w="55" w:type="dxa"/>
              <w:end w:w="70" w:type="dxa"/>
            </w:tcMar>
            <w:vAlign w:val="top"/>
          </w:tcPr>
          <w:p>
            <w:pPr>
              <w:spacing w:after="10" w:line="240" w:lineRule="auto"/>
            </w:pPr>
            <w:r>
              <w:rPr>
                <w:rFonts w:ascii="Arial" w:hAnsi="Arial"/>
                <w:b/>
                <w:sz w:val="11"/>
              </w:rPr>
              <w:t>Prevenar 13/20</w:t>
            </w:r>
          </w:p>
        </w:tc>
        <w:tc>
          <w:tcPr>
            <w:tcW w:type="dxa" w:w="1440"/>
            <w:tcMar>
              <w:top w:w="55" w:type="dxa"/>
              <w:start w:w="70" w:type="dxa"/>
              <w:bottom w:w="55" w:type="dxa"/>
              <w:end w:w="70" w:type="dxa"/>
            </w:tcMar>
            <w:vAlign w:val="top"/>
          </w:tcPr>
          <w:p>
            <w:pPr>
              <w:spacing w:after="10" w:line="240" w:lineRule="auto"/>
            </w:pPr>
            <w:r>
              <w:rPr>
                <w:rFonts w:ascii="Arial" w:hAnsi="Arial"/>
                <w:sz w:val="11"/>
              </w:rPr>
              <w:t>Pneumococcal conjugate vaccines</w:t>
            </w:r>
          </w:p>
        </w:tc>
        <w:tc>
          <w:tcPr>
            <w:tcW w:type="dxa" w:w="1728"/>
            <w:tcMar>
              <w:top w:w="55" w:type="dxa"/>
              <w:start w:w="70" w:type="dxa"/>
              <w:bottom w:w="55" w:type="dxa"/>
              <w:end w:w="70" w:type="dxa"/>
            </w:tcMar>
            <w:vAlign w:val="top"/>
          </w:tcPr>
          <w:p>
            <w:pPr>
              <w:spacing w:after="10" w:line="240" w:lineRule="auto"/>
            </w:pPr>
            <w:r>
              <w:rPr>
                <w:rFonts w:ascii="Arial" w:hAnsi="Arial"/>
                <w:sz w:val="11"/>
              </w:rPr>
              <w:t>Vaccines</w:t>
            </w:r>
          </w:p>
        </w:tc>
        <w:tc>
          <w:tcPr>
            <w:tcW w:type="dxa" w:w="1440"/>
            <w:tcMar>
              <w:top w:w="55" w:type="dxa"/>
              <w:start w:w="70" w:type="dxa"/>
              <w:bottom w:w="55" w:type="dxa"/>
              <w:end w:w="70" w:type="dxa"/>
            </w:tcMar>
            <w:vAlign w:val="top"/>
          </w:tcPr>
          <w:p>
            <w:pPr>
              <w:spacing w:after="10" w:line="240" w:lineRule="auto"/>
            </w:pPr>
            <w:r>
              <w:rPr>
                <w:rFonts w:ascii="Arial" w:hAnsi="Arial"/>
                <w:sz w:val="11"/>
              </w:rPr>
              <w:t>Pfizer Limited</w:t>
            </w:r>
          </w:p>
        </w:tc>
        <w:tc>
          <w:tcPr>
            <w:tcW w:type="dxa" w:w="1440"/>
            <w:tcMar>
              <w:top w:w="55" w:type="dxa"/>
              <w:start w:w="70" w:type="dxa"/>
              <w:bottom w:w="55" w:type="dxa"/>
              <w:end w:w="70" w:type="dxa"/>
            </w:tcMar>
            <w:vAlign w:val="top"/>
          </w:tcPr>
          <w:p>
            <w:pPr>
              <w:spacing w:after="10" w:line="240" w:lineRule="auto"/>
            </w:pPr>
            <w:r>
              <w:rPr>
                <w:rFonts w:ascii="Arial" w:hAnsi="Arial"/>
                <w:sz w:val="11"/>
              </w:rPr>
              <w:t>Imported/affiliate supply</w:t>
            </w:r>
          </w:p>
        </w:tc>
        <w:tc>
          <w:tcPr>
            <w:tcW w:type="dxa" w:w="1296"/>
            <w:tcMar>
              <w:top w:w="55" w:type="dxa"/>
              <w:start w:w="70" w:type="dxa"/>
              <w:bottom w:w="55" w:type="dxa"/>
              <w:end w:w="70" w:type="dxa"/>
            </w:tcMar>
            <w:vAlign w:val="top"/>
          </w:tcPr>
          <w:p>
            <w:pPr>
              <w:spacing w:after="10" w:line="240" w:lineRule="auto"/>
            </w:pPr>
            <w:r>
              <w:rPr>
                <w:rFonts w:ascii="Arial" w:hAnsi="Arial"/>
                <w:sz w:val="11"/>
              </w:rPr>
              <w:t>FY26 BE ₹410cr</w:t>
            </w:r>
          </w:p>
        </w:tc>
        <w:tc>
          <w:tcPr>
            <w:tcW w:type="dxa" w:w="1800"/>
            <w:tcMar>
              <w:top w:w="55" w:type="dxa"/>
              <w:start w:w="70" w:type="dxa"/>
              <w:bottom w:w="55" w:type="dxa"/>
              <w:end w:w="70" w:type="dxa"/>
            </w:tcMar>
            <w:vAlign w:val="top"/>
          </w:tcPr>
          <w:p>
            <w:pPr>
              <w:spacing w:after="10" w:line="240" w:lineRule="auto"/>
            </w:pPr>
            <w:r>
              <w:rPr>
                <w:rFonts w:ascii="Arial" w:hAnsi="Arial"/>
                <w:sz w:val="11"/>
              </w:rPr>
              <w:t>PCV13 52% unit / 60% value; PCV20 12.1% value</w:t>
            </w:r>
          </w:p>
        </w:tc>
        <w:tc>
          <w:tcPr>
            <w:tcW w:type="dxa" w:w="1440"/>
            <w:tcMar>
              <w:top w:w="55" w:type="dxa"/>
              <w:start w:w="70" w:type="dxa"/>
              <w:bottom w:w="55" w:type="dxa"/>
              <w:end w:w="70" w:type="dxa"/>
            </w:tcMar>
            <w:vAlign w:val="top"/>
          </w:tcPr>
          <w:p>
            <w:pPr>
              <w:spacing w:after="10" w:line="240" w:lineRule="auto"/>
            </w:pPr>
            <w:r>
              <w:rPr>
                <w:rFonts w:ascii="Arial" w:hAnsi="Arial"/>
                <w:sz w:val="11"/>
              </w:rPr>
              <w:t>Vaccine growth franchise</w:t>
            </w:r>
          </w:p>
        </w:tc>
      </w:tr>
      <w:tr>
        <w:trPr>
          <w:cantSplit/>
        </w:trPr>
        <w:tc>
          <w:tcPr>
            <w:tcW w:type="dxa" w:w="1368"/>
            <w:shd w:fill="F7F7F7"/>
            <w:tcMar>
              <w:top w:w="55" w:type="dxa"/>
              <w:start w:w="70" w:type="dxa"/>
              <w:bottom w:w="55" w:type="dxa"/>
              <w:end w:w="70" w:type="dxa"/>
            </w:tcMar>
            <w:vAlign w:val="top"/>
          </w:tcPr>
          <w:p>
            <w:pPr>
              <w:spacing w:after="10" w:line="240" w:lineRule="auto"/>
            </w:pPr>
            <w:r>
              <w:rPr>
                <w:rFonts w:ascii="Arial" w:hAnsi="Arial"/>
                <w:b/>
                <w:sz w:val="11"/>
              </w:rPr>
              <w:t>Eliquis</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Apixaban</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1"/>
              </w:rPr>
              <w:t>AF/VTE anticoagulation</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Pfizer Limited</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Not disclosed</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1"/>
              </w:rPr>
              <w:t>FY26 BE ₹312cr</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1"/>
              </w:rPr>
              <w:t>+30% YoY; 37% represented share</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Core growth franchise</w:t>
            </w:r>
          </w:p>
        </w:tc>
      </w:tr>
      <w:tr>
        <w:trPr>
          <w:cantSplit/>
        </w:trPr>
        <w:tc>
          <w:tcPr>
            <w:tcW w:type="dxa" w:w="1368"/>
            <w:tcMar>
              <w:top w:w="55" w:type="dxa"/>
              <w:start w:w="70" w:type="dxa"/>
              <w:bottom w:w="55" w:type="dxa"/>
              <w:end w:w="70" w:type="dxa"/>
            </w:tcMar>
            <w:vAlign w:val="top"/>
          </w:tcPr>
          <w:p>
            <w:pPr>
              <w:spacing w:after="10" w:line="240" w:lineRule="auto"/>
            </w:pPr>
            <w:r>
              <w:rPr>
                <w:rFonts w:ascii="Arial" w:hAnsi="Arial"/>
                <w:b/>
                <w:sz w:val="11"/>
              </w:rPr>
              <w:t>Becosules</w:t>
            </w:r>
          </w:p>
        </w:tc>
        <w:tc>
          <w:tcPr>
            <w:tcW w:type="dxa" w:w="1440"/>
            <w:tcMar>
              <w:top w:w="55" w:type="dxa"/>
              <w:start w:w="70" w:type="dxa"/>
              <w:bottom w:w="55" w:type="dxa"/>
              <w:end w:w="70" w:type="dxa"/>
            </w:tcMar>
            <w:vAlign w:val="top"/>
          </w:tcPr>
          <w:p>
            <w:pPr>
              <w:spacing w:after="10" w:line="240" w:lineRule="auto"/>
            </w:pPr>
            <w:r>
              <w:rPr>
                <w:rFonts w:ascii="Arial" w:hAnsi="Arial"/>
                <w:sz w:val="11"/>
              </w:rPr>
              <w:t>B-complex vitamins</w:t>
            </w:r>
          </w:p>
        </w:tc>
        <w:tc>
          <w:tcPr>
            <w:tcW w:type="dxa" w:w="1728"/>
            <w:tcMar>
              <w:top w:w="55" w:type="dxa"/>
              <w:start w:w="70" w:type="dxa"/>
              <w:bottom w:w="55" w:type="dxa"/>
              <w:end w:w="70" w:type="dxa"/>
            </w:tcMar>
            <w:vAlign w:val="top"/>
          </w:tcPr>
          <w:p>
            <w:pPr>
              <w:spacing w:after="10" w:line="240" w:lineRule="auto"/>
            </w:pPr>
            <w:r>
              <w:rPr>
                <w:rFonts w:ascii="Arial" w:hAnsi="Arial"/>
                <w:sz w:val="11"/>
              </w:rPr>
              <w:t>Nutrition/internal medicine</w:t>
            </w:r>
          </w:p>
        </w:tc>
        <w:tc>
          <w:tcPr>
            <w:tcW w:type="dxa" w:w="1440"/>
            <w:tcMar>
              <w:top w:w="55" w:type="dxa"/>
              <w:start w:w="70" w:type="dxa"/>
              <w:bottom w:w="55" w:type="dxa"/>
              <w:end w:w="70" w:type="dxa"/>
            </w:tcMar>
            <w:vAlign w:val="top"/>
          </w:tcPr>
          <w:p>
            <w:pPr>
              <w:spacing w:after="10" w:line="240" w:lineRule="auto"/>
            </w:pPr>
            <w:r>
              <w:rPr>
                <w:rFonts w:ascii="Arial" w:hAnsi="Arial"/>
                <w:sz w:val="11"/>
              </w:rPr>
              <w:t>Pfizer Limited</w:t>
            </w:r>
          </w:p>
        </w:tc>
        <w:tc>
          <w:tcPr>
            <w:tcW w:type="dxa" w:w="1440"/>
            <w:tcMar>
              <w:top w:w="55" w:type="dxa"/>
              <w:start w:w="70" w:type="dxa"/>
              <w:bottom w:w="55" w:type="dxa"/>
              <w:end w:w="70" w:type="dxa"/>
            </w:tcMar>
            <w:vAlign w:val="top"/>
          </w:tcPr>
          <w:p>
            <w:pPr>
              <w:spacing w:after="10" w:line="240" w:lineRule="auto"/>
            </w:pPr>
            <w:r>
              <w:rPr>
                <w:rFonts w:ascii="Arial" w:hAnsi="Arial"/>
                <w:sz w:val="11"/>
              </w:rPr>
              <w:t>Mixed; not fully disclosed</w:t>
            </w:r>
          </w:p>
        </w:tc>
        <w:tc>
          <w:tcPr>
            <w:tcW w:type="dxa" w:w="1296"/>
            <w:tcMar>
              <w:top w:w="55" w:type="dxa"/>
              <w:start w:w="70" w:type="dxa"/>
              <w:bottom w:w="55" w:type="dxa"/>
              <w:end w:w="70" w:type="dxa"/>
            </w:tcMar>
            <w:vAlign w:val="top"/>
          </w:tcPr>
          <w:p>
            <w:pPr>
              <w:spacing w:after="10" w:line="240" w:lineRule="auto"/>
            </w:pPr>
            <w:r>
              <w:rPr>
                <w:rFonts w:ascii="Arial" w:hAnsi="Arial"/>
                <w:sz w:val="11"/>
              </w:rPr>
              <w:t>FY26 BE ₹250cr</w:t>
            </w:r>
          </w:p>
        </w:tc>
        <w:tc>
          <w:tcPr>
            <w:tcW w:type="dxa" w:w="1800"/>
            <w:tcMar>
              <w:top w:w="55" w:type="dxa"/>
              <w:start w:w="70" w:type="dxa"/>
              <w:bottom w:w="55" w:type="dxa"/>
              <w:end w:w="70" w:type="dxa"/>
            </w:tcMar>
            <w:vAlign w:val="top"/>
          </w:tcPr>
          <w:p>
            <w:pPr>
              <w:spacing w:after="10" w:line="240" w:lineRule="auto"/>
            </w:pPr>
            <w:r>
              <w:rPr>
                <w:rFonts w:ascii="Arial" w:hAnsi="Arial"/>
                <w:sz w:val="11"/>
              </w:rPr>
              <w:t>Franchise +1ppt share; core &gt;75%</w:t>
            </w:r>
          </w:p>
        </w:tc>
        <w:tc>
          <w:tcPr>
            <w:tcW w:type="dxa" w:w="1440"/>
            <w:tcMar>
              <w:top w:w="55" w:type="dxa"/>
              <w:start w:w="70" w:type="dxa"/>
              <w:bottom w:w="55" w:type="dxa"/>
              <w:end w:w="70" w:type="dxa"/>
            </w:tcMar>
            <w:vAlign w:val="top"/>
          </w:tcPr>
          <w:p>
            <w:pPr>
              <w:spacing w:after="10" w:line="240" w:lineRule="auto"/>
            </w:pPr>
            <w:r>
              <w:rPr>
                <w:rFonts w:ascii="Arial" w:hAnsi="Arial"/>
                <w:sz w:val="11"/>
              </w:rPr>
              <w:t>Mature growth brand</w:t>
            </w:r>
          </w:p>
        </w:tc>
      </w:tr>
      <w:tr>
        <w:trPr>
          <w:cantSplit/>
        </w:trPr>
        <w:tc>
          <w:tcPr>
            <w:tcW w:type="dxa" w:w="1368"/>
            <w:shd w:fill="F7F7F7"/>
            <w:tcMar>
              <w:top w:w="55" w:type="dxa"/>
              <w:start w:w="70" w:type="dxa"/>
              <w:bottom w:w="55" w:type="dxa"/>
              <w:end w:w="70" w:type="dxa"/>
            </w:tcMar>
            <w:vAlign w:val="top"/>
          </w:tcPr>
          <w:p>
            <w:pPr>
              <w:spacing w:after="10" w:line="240" w:lineRule="auto"/>
            </w:pPr>
            <w:r>
              <w:rPr>
                <w:rFonts w:ascii="Arial" w:hAnsi="Arial"/>
                <w:b/>
                <w:sz w:val="11"/>
              </w:rPr>
              <w:t>Corex Dx/LS</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Cough combinations</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1"/>
              </w:rPr>
              <w:t>Respiratory</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Pfizer Limited; Cipla distributes</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Not disclosed</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1"/>
              </w:rPr>
              <w:t>FY26 BE ₹180cr</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1"/>
              </w:rPr>
              <w:t>Latest brand growth not disclosed</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Mature partner-led brand</w:t>
            </w:r>
          </w:p>
        </w:tc>
      </w:tr>
      <w:tr>
        <w:trPr>
          <w:cantSplit/>
        </w:trPr>
        <w:tc>
          <w:tcPr>
            <w:tcW w:type="dxa" w:w="1368"/>
            <w:tcMar>
              <w:top w:w="55" w:type="dxa"/>
              <w:start w:w="70" w:type="dxa"/>
              <w:bottom w:w="55" w:type="dxa"/>
              <w:end w:w="70" w:type="dxa"/>
            </w:tcMar>
            <w:vAlign w:val="top"/>
          </w:tcPr>
          <w:p>
            <w:pPr>
              <w:spacing w:after="10" w:line="240" w:lineRule="auto"/>
            </w:pPr>
            <w:r>
              <w:rPr>
                <w:rFonts w:ascii="Arial" w:hAnsi="Arial"/>
                <w:b/>
                <w:sz w:val="11"/>
              </w:rPr>
              <w:t>Magnex</w:t>
            </w:r>
          </w:p>
        </w:tc>
        <w:tc>
          <w:tcPr>
            <w:tcW w:type="dxa" w:w="1440"/>
            <w:tcMar>
              <w:top w:w="55" w:type="dxa"/>
              <w:start w:w="70" w:type="dxa"/>
              <w:bottom w:w="55" w:type="dxa"/>
              <w:end w:w="70" w:type="dxa"/>
            </w:tcMar>
            <w:vAlign w:val="top"/>
          </w:tcPr>
          <w:p>
            <w:pPr>
              <w:spacing w:after="10" w:line="240" w:lineRule="auto"/>
            </w:pPr>
            <w:r>
              <w:rPr>
                <w:rFonts w:ascii="Arial" w:hAnsi="Arial"/>
                <w:sz w:val="11"/>
              </w:rPr>
              <w:t>Cefoperazone/sulbactam</w:t>
            </w:r>
          </w:p>
        </w:tc>
        <w:tc>
          <w:tcPr>
            <w:tcW w:type="dxa" w:w="1728"/>
            <w:tcMar>
              <w:top w:w="55" w:type="dxa"/>
              <w:start w:w="70" w:type="dxa"/>
              <w:bottom w:w="55" w:type="dxa"/>
              <w:end w:w="70" w:type="dxa"/>
            </w:tcMar>
            <w:vAlign w:val="top"/>
          </w:tcPr>
          <w:p>
            <w:pPr>
              <w:spacing w:after="10" w:line="240" w:lineRule="auto"/>
            </w:pPr>
            <w:r>
              <w:rPr>
                <w:rFonts w:ascii="Arial" w:hAnsi="Arial"/>
                <w:sz w:val="11"/>
              </w:rPr>
              <w:t>Hospital anti-infective</w:t>
            </w:r>
          </w:p>
        </w:tc>
        <w:tc>
          <w:tcPr>
            <w:tcW w:type="dxa" w:w="1440"/>
            <w:tcMar>
              <w:top w:w="55" w:type="dxa"/>
              <w:start w:w="70" w:type="dxa"/>
              <w:bottom w:w="55" w:type="dxa"/>
              <w:end w:w="70" w:type="dxa"/>
            </w:tcMar>
            <w:vAlign w:val="top"/>
          </w:tcPr>
          <w:p>
            <w:pPr>
              <w:spacing w:after="10" w:line="240" w:lineRule="auto"/>
            </w:pPr>
            <w:r>
              <w:rPr>
                <w:rFonts w:ascii="Arial" w:hAnsi="Arial"/>
                <w:sz w:val="11"/>
              </w:rPr>
              <w:t>Pfizer Limited</w:t>
            </w:r>
          </w:p>
        </w:tc>
        <w:tc>
          <w:tcPr>
            <w:tcW w:type="dxa" w:w="1440"/>
            <w:tcMar>
              <w:top w:w="55" w:type="dxa"/>
              <w:start w:w="70" w:type="dxa"/>
              <w:bottom w:w="55" w:type="dxa"/>
              <w:end w:w="70" w:type="dxa"/>
            </w:tcMar>
            <w:vAlign w:val="top"/>
          </w:tcPr>
          <w:p>
            <w:pPr>
              <w:spacing w:after="10" w:line="240" w:lineRule="auto"/>
            </w:pPr>
            <w:r>
              <w:rPr>
                <w:rFonts w:ascii="Arial" w:hAnsi="Arial"/>
                <w:sz w:val="11"/>
              </w:rPr>
              <w:t>Not disclosed</w:t>
            </w:r>
          </w:p>
        </w:tc>
        <w:tc>
          <w:tcPr>
            <w:tcW w:type="dxa" w:w="1296"/>
            <w:tcMar>
              <w:top w:w="55" w:type="dxa"/>
              <w:start w:w="70" w:type="dxa"/>
              <w:bottom w:w="55" w:type="dxa"/>
              <w:end w:w="70" w:type="dxa"/>
            </w:tcMar>
            <w:vAlign w:val="top"/>
          </w:tcPr>
          <w:p>
            <w:pPr>
              <w:spacing w:after="10" w:line="240" w:lineRule="auto"/>
            </w:pPr>
            <w:r>
              <w:rPr>
                <w:rFonts w:ascii="Arial" w:hAnsi="Arial"/>
                <w:sz w:val="11"/>
              </w:rPr>
              <w:t>Individual sales N/D</w:t>
            </w:r>
          </w:p>
        </w:tc>
        <w:tc>
          <w:tcPr>
            <w:tcW w:type="dxa" w:w="1800"/>
            <w:tcMar>
              <w:top w:w="55" w:type="dxa"/>
              <w:start w:w="70" w:type="dxa"/>
              <w:bottom w:w="55" w:type="dxa"/>
              <w:end w:w="70" w:type="dxa"/>
            </w:tcMar>
            <w:vAlign w:val="top"/>
          </w:tcPr>
          <w:p>
            <w:pPr>
              <w:spacing w:after="10" w:line="240" w:lineRule="auto"/>
            </w:pPr>
            <w:r>
              <w:rPr>
                <w:rFonts w:ascii="Arial" w:hAnsi="Arial"/>
                <w:sz w:val="11"/>
              </w:rPr>
              <w:t>Market share N/D</w:t>
            </w:r>
          </w:p>
        </w:tc>
        <w:tc>
          <w:tcPr>
            <w:tcW w:type="dxa" w:w="1440"/>
            <w:tcMar>
              <w:top w:w="55" w:type="dxa"/>
              <w:start w:w="70" w:type="dxa"/>
              <w:bottom w:w="55" w:type="dxa"/>
              <w:end w:w="70" w:type="dxa"/>
            </w:tcMar>
            <w:vAlign w:val="top"/>
          </w:tcPr>
          <w:p>
            <w:pPr>
              <w:spacing w:after="10" w:line="240" w:lineRule="auto"/>
            </w:pPr>
            <w:r>
              <w:rPr>
                <w:rFonts w:ascii="Arial" w:hAnsi="Arial"/>
                <w:sz w:val="11"/>
              </w:rPr>
              <w:t>Hospital franchise</w:t>
            </w:r>
          </w:p>
        </w:tc>
      </w:tr>
      <w:tr>
        <w:trPr>
          <w:cantSplit/>
        </w:trPr>
        <w:tc>
          <w:tcPr>
            <w:tcW w:type="dxa" w:w="1368"/>
            <w:shd w:fill="F7F7F7"/>
            <w:tcMar>
              <w:top w:w="55" w:type="dxa"/>
              <w:start w:w="70" w:type="dxa"/>
              <w:bottom w:w="55" w:type="dxa"/>
              <w:end w:w="70" w:type="dxa"/>
            </w:tcMar>
            <w:vAlign w:val="top"/>
          </w:tcPr>
          <w:p>
            <w:pPr>
              <w:spacing w:after="10" w:line="240" w:lineRule="auto"/>
            </w:pPr>
            <w:r>
              <w:rPr>
                <w:rFonts w:ascii="Arial" w:hAnsi="Arial"/>
                <w:b/>
                <w:sz w:val="11"/>
              </w:rPr>
              <w:t>Zavicefta</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Ceftazidime/avibactam</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1"/>
              </w:rPr>
              <w:t>MDR Gram-negative infections</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Pfizer Limited</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Imported/affiliate likely; unverified</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1"/>
              </w:rPr>
              <w:t>Individual sales N/D</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1"/>
              </w:rPr>
              <w:t>42% represented share</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Hospital growth franchise</w:t>
            </w:r>
          </w:p>
        </w:tc>
      </w:tr>
      <w:tr>
        <w:trPr>
          <w:cantSplit/>
        </w:trPr>
        <w:tc>
          <w:tcPr>
            <w:tcW w:type="dxa" w:w="1368"/>
            <w:tcMar>
              <w:top w:w="55" w:type="dxa"/>
              <w:start w:w="70" w:type="dxa"/>
              <w:bottom w:w="55" w:type="dxa"/>
              <w:end w:w="70" w:type="dxa"/>
            </w:tcMar>
            <w:vAlign w:val="top"/>
          </w:tcPr>
          <w:p>
            <w:pPr>
              <w:spacing w:after="10" w:line="240" w:lineRule="auto"/>
            </w:pPr>
            <w:r>
              <w:rPr>
                <w:rFonts w:ascii="Arial" w:hAnsi="Arial"/>
                <w:b/>
                <w:sz w:val="11"/>
              </w:rPr>
              <w:t>Emblaveo</w:t>
            </w:r>
          </w:p>
        </w:tc>
        <w:tc>
          <w:tcPr>
            <w:tcW w:type="dxa" w:w="1440"/>
            <w:tcMar>
              <w:top w:w="55" w:type="dxa"/>
              <w:start w:w="70" w:type="dxa"/>
              <w:bottom w:w="55" w:type="dxa"/>
              <w:end w:w="70" w:type="dxa"/>
            </w:tcMar>
            <w:vAlign w:val="top"/>
          </w:tcPr>
          <w:p>
            <w:pPr>
              <w:spacing w:after="10" w:line="240" w:lineRule="auto"/>
            </w:pPr>
            <w:r>
              <w:rPr>
                <w:rFonts w:ascii="Arial" w:hAnsi="Arial"/>
                <w:sz w:val="11"/>
              </w:rPr>
              <w:t>Aztreonam/avibactam</w:t>
            </w:r>
          </w:p>
        </w:tc>
        <w:tc>
          <w:tcPr>
            <w:tcW w:type="dxa" w:w="1728"/>
            <w:tcMar>
              <w:top w:w="55" w:type="dxa"/>
              <w:start w:w="70" w:type="dxa"/>
              <w:bottom w:w="55" w:type="dxa"/>
              <w:end w:w="70" w:type="dxa"/>
            </w:tcMar>
            <w:vAlign w:val="top"/>
          </w:tcPr>
          <w:p>
            <w:pPr>
              <w:spacing w:after="10" w:line="240" w:lineRule="auto"/>
            </w:pPr>
            <w:r>
              <w:rPr>
                <w:rFonts w:ascii="Arial" w:hAnsi="Arial"/>
                <w:sz w:val="11"/>
              </w:rPr>
              <w:t>MBL Gram-negative infections</w:t>
            </w:r>
          </w:p>
        </w:tc>
        <w:tc>
          <w:tcPr>
            <w:tcW w:type="dxa" w:w="1440"/>
            <w:tcMar>
              <w:top w:w="55" w:type="dxa"/>
              <w:start w:w="70" w:type="dxa"/>
              <w:bottom w:w="55" w:type="dxa"/>
              <w:end w:w="70" w:type="dxa"/>
            </w:tcMar>
            <w:vAlign w:val="top"/>
          </w:tcPr>
          <w:p>
            <w:pPr>
              <w:spacing w:after="10" w:line="240" w:lineRule="auto"/>
            </w:pPr>
            <w:r>
              <w:rPr>
                <w:rFonts w:ascii="Arial" w:hAnsi="Arial"/>
                <w:sz w:val="11"/>
              </w:rPr>
              <w:t>Pfizer Limited</w:t>
            </w:r>
          </w:p>
        </w:tc>
        <w:tc>
          <w:tcPr>
            <w:tcW w:type="dxa" w:w="1440"/>
            <w:tcMar>
              <w:top w:w="55" w:type="dxa"/>
              <w:start w:w="70" w:type="dxa"/>
              <w:bottom w:w="55" w:type="dxa"/>
              <w:end w:w="70" w:type="dxa"/>
            </w:tcMar>
            <w:vAlign w:val="top"/>
          </w:tcPr>
          <w:p>
            <w:pPr>
              <w:spacing w:after="10" w:line="240" w:lineRule="auto"/>
            </w:pPr>
            <w:r>
              <w:rPr>
                <w:rFonts w:ascii="Arial" w:hAnsi="Arial"/>
                <w:sz w:val="11"/>
              </w:rPr>
              <w:t>Not disclosed</w:t>
            </w:r>
          </w:p>
        </w:tc>
        <w:tc>
          <w:tcPr>
            <w:tcW w:type="dxa" w:w="1296"/>
            <w:tcMar>
              <w:top w:w="55" w:type="dxa"/>
              <w:start w:w="70" w:type="dxa"/>
              <w:bottom w:w="55" w:type="dxa"/>
              <w:end w:w="70" w:type="dxa"/>
            </w:tcMar>
            <w:vAlign w:val="top"/>
          </w:tcPr>
          <w:p>
            <w:pPr>
              <w:spacing w:after="10" w:line="240" w:lineRule="auto"/>
            </w:pPr>
            <w:r>
              <w:rPr>
                <w:rFonts w:ascii="Arial" w:hAnsi="Arial"/>
                <w:sz w:val="11"/>
              </w:rPr>
              <w:t>New launch; N/D</w:t>
            </w:r>
          </w:p>
        </w:tc>
        <w:tc>
          <w:tcPr>
            <w:tcW w:type="dxa" w:w="1800"/>
            <w:tcMar>
              <w:top w:w="55" w:type="dxa"/>
              <w:start w:w="70" w:type="dxa"/>
              <w:bottom w:w="55" w:type="dxa"/>
              <w:end w:w="70" w:type="dxa"/>
            </w:tcMar>
            <w:vAlign w:val="top"/>
          </w:tcPr>
          <w:p>
            <w:pPr>
              <w:spacing w:after="10" w:line="240" w:lineRule="auto"/>
            </w:pPr>
            <w:r>
              <w:rPr>
                <w:rFonts w:ascii="Arial" w:hAnsi="Arial"/>
                <w:sz w:val="11"/>
              </w:rPr>
              <w:t>Launched FY26</w:t>
            </w:r>
          </w:p>
        </w:tc>
        <w:tc>
          <w:tcPr>
            <w:tcW w:type="dxa" w:w="1440"/>
            <w:tcMar>
              <w:top w:w="55" w:type="dxa"/>
              <w:start w:w="70" w:type="dxa"/>
              <w:bottom w:w="55" w:type="dxa"/>
              <w:end w:w="70" w:type="dxa"/>
            </w:tcMar>
            <w:vAlign w:val="top"/>
          </w:tcPr>
          <w:p>
            <w:pPr>
              <w:spacing w:after="10" w:line="240" w:lineRule="auto"/>
            </w:pPr>
            <w:r>
              <w:rPr>
                <w:rFonts w:ascii="Arial" w:hAnsi="Arial"/>
                <w:sz w:val="11"/>
              </w:rPr>
              <w:t>New launch</w:t>
            </w:r>
          </w:p>
        </w:tc>
      </w:tr>
      <w:tr>
        <w:trPr>
          <w:cantSplit/>
        </w:trPr>
        <w:tc>
          <w:tcPr>
            <w:tcW w:type="dxa" w:w="1368"/>
            <w:shd w:fill="F7F7F7"/>
            <w:tcMar>
              <w:top w:w="55" w:type="dxa"/>
              <w:start w:w="70" w:type="dxa"/>
              <w:bottom w:w="55" w:type="dxa"/>
              <w:end w:w="70" w:type="dxa"/>
            </w:tcMar>
            <w:vAlign w:val="top"/>
          </w:tcPr>
          <w:p>
            <w:pPr>
              <w:spacing w:after="10" w:line="240" w:lineRule="auto"/>
            </w:pPr>
            <w:r>
              <w:rPr>
                <w:rFonts w:ascii="Arial" w:hAnsi="Arial"/>
                <w:b/>
                <w:sz w:val="11"/>
              </w:rPr>
              <w:t>Nurtec ODT</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Rimegepant</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1"/>
              </w:rPr>
              <w:t>Acute migraine</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Pfizer Limited</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Imported finished dose likely; unverified</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1"/>
              </w:rPr>
              <w:t>New launch; N/D</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1"/>
              </w:rPr>
              <w:t>Early patient metrics only</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New launch</w:t>
            </w:r>
          </w:p>
        </w:tc>
      </w:tr>
      <w:tr>
        <w:trPr>
          <w:cantSplit/>
        </w:trPr>
        <w:tc>
          <w:tcPr>
            <w:tcW w:type="dxa" w:w="1368"/>
            <w:tcMar>
              <w:top w:w="55" w:type="dxa"/>
              <w:start w:w="70" w:type="dxa"/>
              <w:bottom w:w="55" w:type="dxa"/>
              <w:end w:w="70" w:type="dxa"/>
            </w:tcMar>
            <w:vAlign w:val="top"/>
          </w:tcPr>
          <w:p>
            <w:pPr>
              <w:spacing w:after="10" w:line="240" w:lineRule="auto"/>
            </w:pPr>
            <w:r>
              <w:rPr>
                <w:rFonts w:ascii="Arial" w:hAnsi="Arial"/>
                <w:b/>
                <w:sz w:val="11"/>
              </w:rPr>
              <w:t>Minipress XL</w:t>
            </w:r>
          </w:p>
        </w:tc>
        <w:tc>
          <w:tcPr>
            <w:tcW w:type="dxa" w:w="1440"/>
            <w:tcMar>
              <w:top w:w="55" w:type="dxa"/>
              <w:start w:w="70" w:type="dxa"/>
              <w:bottom w:w="55" w:type="dxa"/>
              <w:end w:w="70" w:type="dxa"/>
            </w:tcMar>
            <w:vAlign w:val="top"/>
          </w:tcPr>
          <w:p>
            <w:pPr>
              <w:spacing w:after="10" w:line="240" w:lineRule="auto"/>
            </w:pPr>
            <w:r>
              <w:rPr>
                <w:rFonts w:ascii="Arial" w:hAnsi="Arial"/>
                <w:sz w:val="11"/>
              </w:rPr>
              <w:t>Prazosin ER</w:t>
            </w:r>
          </w:p>
        </w:tc>
        <w:tc>
          <w:tcPr>
            <w:tcW w:type="dxa" w:w="1728"/>
            <w:tcMar>
              <w:top w:w="55" w:type="dxa"/>
              <w:start w:w="70" w:type="dxa"/>
              <w:bottom w:w="55" w:type="dxa"/>
              <w:end w:w="70" w:type="dxa"/>
            </w:tcMar>
            <w:vAlign w:val="top"/>
          </w:tcPr>
          <w:p>
            <w:pPr>
              <w:spacing w:after="10" w:line="240" w:lineRule="auto"/>
            </w:pPr>
            <w:r>
              <w:rPr>
                <w:rFonts w:ascii="Arial" w:hAnsi="Arial"/>
                <w:sz w:val="11"/>
              </w:rPr>
              <w:t>Hypertension/PTSD-related use</w:t>
            </w:r>
          </w:p>
        </w:tc>
        <w:tc>
          <w:tcPr>
            <w:tcW w:type="dxa" w:w="1440"/>
            <w:tcMar>
              <w:top w:w="55" w:type="dxa"/>
              <w:start w:w="70" w:type="dxa"/>
              <w:bottom w:w="55" w:type="dxa"/>
              <w:end w:w="70" w:type="dxa"/>
            </w:tcMar>
            <w:vAlign w:val="top"/>
          </w:tcPr>
          <w:p>
            <w:pPr>
              <w:spacing w:after="10" w:line="240" w:lineRule="auto"/>
            </w:pPr>
            <w:r>
              <w:rPr>
                <w:rFonts w:ascii="Arial" w:hAnsi="Arial"/>
                <w:sz w:val="11"/>
              </w:rPr>
              <w:t>Pfizer Limited until Sep 2026</w:t>
            </w:r>
          </w:p>
        </w:tc>
        <w:tc>
          <w:tcPr>
            <w:tcW w:type="dxa" w:w="1440"/>
            <w:tcMar>
              <w:top w:w="55" w:type="dxa"/>
              <w:start w:w="70" w:type="dxa"/>
              <w:bottom w:w="55" w:type="dxa"/>
              <w:end w:w="70" w:type="dxa"/>
            </w:tcMar>
            <w:vAlign w:val="top"/>
          </w:tcPr>
          <w:p>
            <w:pPr>
              <w:spacing w:after="10" w:line="240" w:lineRule="auto"/>
            </w:pPr>
            <w:r>
              <w:rPr>
                <w:rFonts w:ascii="Arial" w:hAnsi="Arial"/>
                <w:sz w:val="11"/>
              </w:rPr>
              <w:t>Parent supply</w:t>
            </w:r>
          </w:p>
        </w:tc>
        <w:tc>
          <w:tcPr>
            <w:tcW w:type="dxa" w:w="1296"/>
            <w:tcMar>
              <w:top w:w="55" w:type="dxa"/>
              <w:start w:w="70" w:type="dxa"/>
              <w:bottom w:w="55" w:type="dxa"/>
              <w:end w:w="70" w:type="dxa"/>
            </w:tcMar>
            <w:vAlign w:val="top"/>
          </w:tcPr>
          <w:p>
            <w:pPr>
              <w:spacing w:after="10" w:line="240" w:lineRule="auto"/>
            </w:pPr>
            <w:r>
              <w:rPr>
                <w:rFonts w:ascii="Arial" w:hAnsi="Arial"/>
                <w:sz w:val="11"/>
              </w:rPr>
              <w:t>FY26 BE ₹110cr</w:t>
            </w:r>
          </w:p>
        </w:tc>
        <w:tc>
          <w:tcPr>
            <w:tcW w:type="dxa" w:w="1800"/>
            <w:tcMar>
              <w:top w:w="55" w:type="dxa"/>
              <w:start w:w="70" w:type="dxa"/>
              <w:bottom w:w="55" w:type="dxa"/>
              <w:end w:w="70" w:type="dxa"/>
            </w:tcMar>
            <w:vAlign w:val="top"/>
          </w:tcPr>
          <w:p>
            <w:pPr>
              <w:spacing w:after="10" w:line="240" w:lineRule="auto"/>
            </w:pPr>
            <w:r>
              <w:rPr>
                <w:rFonts w:ascii="Arial" w:hAnsi="Arial"/>
                <w:sz w:val="11"/>
              </w:rPr>
              <w:t>Discontinued</w:t>
            </w:r>
          </w:p>
        </w:tc>
        <w:tc>
          <w:tcPr>
            <w:tcW w:type="dxa" w:w="1440"/>
            <w:tcMar>
              <w:top w:w="55" w:type="dxa"/>
              <w:start w:w="70" w:type="dxa"/>
              <w:bottom w:w="55" w:type="dxa"/>
              <w:end w:w="70" w:type="dxa"/>
            </w:tcMar>
            <w:vAlign w:val="top"/>
          </w:tcPr>
          <w:p>
            <w:pPr>
              <w:spacing w:after="10" w:line="240" w:lineRule="auto"/>
            </w:pPr>
            <w:r>
              <w:rPr>
                <w:rFonts w:ascii="Arial" w:hAnsi="Arial"/>
                <w:sz w:val="11"/>
              </w:rPr>
              <w:t>Exiting franchise</w:t>
            </w:r>
          </w:p>
        </w:tc>
      </w:tr>
      <w:tr>
        <w:trPr>
          <w:cantSplit/>
        </w:trPr>
        <w:tc>
          <w:tcPr>
            <w:tcW w:type="dxa" w:w="1368"/>
            <w:shd w:fill="F7F7F7"/>
            <w:tcMar>
              <w:top w:w="55" w:type="dxa"/>
              <w:start w:w="70" w:type="dxa"/>
              <w:bottom w:w="55" w:type="dxa"/>
              <w:end w:w="70" w:type="dxa"/>
            </w:tcMar>
            <w:vAlign w:val="top"/>
          </w:tcPr>
          <w:p>
            <w:pPr>
              <w:spacing w:after="10" w:line="240" w:lineRule="auto"/>
            </w:pPr>
            <w:r>
              <w:rPr>
                <w:rFonts w:ascii="Arial" w:hAnsi="Arial"/>
                <w:b/>
                <w:sz w:val="11"/>
              </w:rPr>
              <w:t>Dolonex</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Piroxicam</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1"/>
              </w:rPr>
              <w:t>Pain/inflammation</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Pfizer Limited; Cipla distributes</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Goa/contract source N/D</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1"/>
              </w:rPr>
              <w:t>Individual sales N/D</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1"/>
              </w:rPr>
              <w:t>Category leadership claimed; share N/D</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Mature cash brand</w:t>
            </w:r>
          </w:p>
        </w:tc>
      </w:tr>
      <w:tr>
        <w:trPr>
          <w:cantSplit/>
        </w:trPr>
        <w:tc>
          <w:tcPr>
            <w:tcW w:type="dxa" w:w="1368"/>
            <w:tcMar>
              <w:top w:w="55" w:type="dxa"/>
              <w:start w:w="70" w:type="dxa"/>
              <w:bottom w:w="55" w:type="dxa"/>
              <w:end w:w="70" w:type="dxa"/>
            </w:tcMar>
            <w:vAlign w:val="top"/>
          </w:tcPr>
          <w:p>
            <w:pPr>
              <w:spacing w:after="10" w:line="240" w:lineRule="auto"/>
            </w:pPr>
            <w:r>
              <w:rPr>
                <w:rFonts w:ascii="Arial" w:hAnsi="Arial"/>
                <w:b/>
                <w:sz w:val="11"/>
              </w:rPr>
              <w:t>Enbrel</w:t>
            </w:r>
          </w:p>
        </w:tc>
        <w:tc>
          <w:tcPr>
            <w:tcW w:type="dxa" w:w="1440"/>
            <w:tcMar>
              <w:top w:w="55" w:type="dxa"/>
              <w:start w:w="70" w:type="dxa"/>
              <w:bottom w:w="55" w:type="dxa"/>
              <w:end w:w="70" w:type="dxa"/>
            </w:tcMar>
            <w:vAlign w:val="top"/>
          </w:tcPr>
          <w:p>
            <w:pPr>
              <w:spacing w:after="10" w:line="240" w:lineRule="auto"/>
            </w:pPr>
            <w:r>
              <w:rPr>
                <w:rFonts w:ascii="Arial" w:hAnsi="Arial"/>
                <w:sz w:val="11"/>
              </w:rPr>
              <w:t>Etanercept</w:t>
            </w:r>
          </w:p>
        </w:tc>
        <w:tc>
          <w:tcPr>
            <w:tcW w:type="dxa" w:w="1728"/>
            <w:tcMar>
              <w:top w:w="55" w:type="dxa"/>
              <w:start w:w="70" w:type="dxa"/>
              <w:bottom w:w="55" w:type="dxa"/>
              <w:end w:w="70" w:type="dxa"/>
            </w:tcMar>
            <w:vAlign w:val="top"/>
          </w:tcPr>
          <w:p>
            <w:pPr>
              <w:spacing w:after="10" w:line="240" w:lineRule="auto"/>
            </w:pPr>
            <w:r>
              <w:rPr>
                <w:rFonts w:ascii="Arial" w:hAnsi="Arial"/>
                <w:sz w:val="11"/>
              </w:rPr>
              <w:t>RA/PsA/AS/psoriasis</w:t>
            </w:r>
          </w:p>
        </w:tc>
        <w:tc>
          <w:tcPr>
            <w:tcW w:type="dxa" w:w="1440"/>
            <w:tcMar>
              <w:top w:w="55" w:type="dxa"/>
              <w:start w:w="70" w:type="dxa"/>
              <w:bottom w:w="55" w:type="dxa"/>
              <w:end w:w="70" w:type="dxa"/>
            </w:tcMar>
            <w:vAlign w:val="top"/>
          </w:tcPr>
          <w:p>
            <w:pPr>
              <w:spacing w:after="10" w:line="240" w:lineRule="auto"/>
            </w:pPr>
            <w:r>
              <w:rPr>
                <w:rFonts w:ascii="Arial" w:hAnsi="Arial"/>
                <w:sz w:val="11"/>
              </w:rPr>
              <w:t>Pfizer Limited</w:t>
            </w:r>
          </w:p>
        </w:tc>
        <w:tc>
          <w:tcPr>
            <w:tcW w:type="dxa" w:w="1440"/>
            <w:tcMar>
              <w:top w:w="55" w:type="dxa"/>
              <w:start w:w="70" w:type="dxa"/>
              <w:bottom w:w="55" w:type="dxa"/>
              <w:end w:w="70" w:type="dxa"/>
            </w:tcMar>
            <w:vAlign w:val="top"/>
          </w:tcPr>
          <w:p>
            <w:pPr>
              <w:spacing w:after="10" w:line="240" w:lineRule="auto"/>
            </w:pPr>
            <w:r>
              <w:rPr>
                <w:rFonts w:ascii="Arial" w:hAnsi="Arial"/>
                <w:sz w:val="11"/>
              </w:rPr>
              <w:t>Imported biologic</w:t>
            </w:r>
          </w:p>
        </w:tc>
        <w:tc>
          <w:tcPr>
            <w:tcW w:type="dxa" w:w="1296"/>
            <w:tcMar>
              <w:top w:w="55" w:type="dxa"/>
              <w:start w:w="70" w:type="dxa"/>
              <w:bottom w:w="55" w:type="dxa"/>
              <w:end w:w="70" w:type="dxa"/>
            </w:tcMar>
            <w:vAlign w:val="top"/>
          </w:tcPr>
          <w:p>
            <w:pPr>
              <w:spacing w:after="10" w:line="240" w:lineRule="auto"/>
            </w:pPr>
            <w:r>
              <w:rPr>
                <w:rFonts w:ascii="Arial" w:hAnsi="Arial"/>
                <w:sz w:val="11"/>
              </w:rPr>
              <w:t>Individual sales N/D</w:t>
            </w:r>
          </w:p>
        </w:tc>
        <w:tc>
          <w:tcPr>
            <w:tcW w:type="dxa" w:w="1800"/>
            <w:tcMar>
              <w:top w:w="55" w:type="dxa"/>
              <w:start w:w="70" w:type="dxa"/>
              <w:bottom w:w="55" w:type="dxa"/>
              <w:end w:w="70" w:type="dxa"/>
            </w:tcMar>
            <w:vAlign w:val="top"/>
          </w:tcPr>
          <w:p>
            <w:pPr>
              <w:spacing w:after="10" w:line="240" w:lineRule="auto"/>
            </w:pPr>
            <w:r>
              <w:rPr>
                <w:rFonts w:ascii="Arial" w:hAnsi="Arial"/>
                <w:sz w:val="11"/>
              </w:rPr>
              <w:t>Share N/D</w:t>
            </w:r>
          </w:p>
        </w:tc>
        <w:tc>
          <w:tcPr>
            <w:tcW w:type="dxa" w:w="1440"/>
            <w:tcMar>
              <w:top w:w="55" w:type="dxa"/>
              <w:start w:w="70" w:type="dxa"/>
              <w:bottom w:w="55" w:type="dxa"/>
              <w:end w:w="70" w:type="dxa"/>
            </w:tcMar>
            <w:vAlign w:val="top"/>
          </w:tcPr>
          <w:p>
            <w:pPr>
              <w:spacing w:after="10" w:line="240" w:lineRule="auto"/>
            </w:pPr>
            <w:r>
              <w:rPr>
                <w:rFonts w:ascii="Arial" w:hAnsi="Arial"/>
                <w:sz w:val="11"/>
              </w:rPr>
              <w:t>Immunology cash brand</w:t>
            </w:r>
          </w:p>
        </w:tc>
      </w:tr>
      <w:tr>
        <w:trPr>
          <w:cantSplit/>
        </w:trPr>
        <w:tc>
          <w:tcPr>
            <w:tcW w:type="dxa" w:w="1368"/>
            <w:shd w:fill="F7F7F7"/>
            <w:tcMar>
              <w:top w:w="55" w:type="dxa"/>
              <w:start w:w="70" w:type="dxa"/>
              <w:bottom w:w="55" w:type="dxa"/>
              <w:end w:w="70" w:type="dxa"/>
            </w:tcMar>
            <w:vAlign w:val="top"/>
          </w:tcPr>
          <w:p>
            <w:pPr>
              <w:spacing w:after="10" w:line="240" w:lineRule="auto"/>
            </w:pPr>
            <w:r>
              <w:rPr>
                <w:rFonts w:ascii="Arial" w:hAnsi="Arial"/>
                <w:b/>
                <w:sz w:val="11"/>
              </w:rPr>
              <w:t>Betrecep</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Tofacitinib</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1"/>
              </w:rPr>
              <w:t>RA and immune disease</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Pfizer Limited</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India-access source N/D</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1"/>
              </w:rPr>
              <w:t>Newer; N/D</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1"/>
              </w:rPr>
              <w:t>#6 among &gt;85 brands</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New launch</w:t>
            </w:r>
          </w:p>
        </w:tc>
      </w:tr>
      <w:tr>
        <w:trPr>
          <w:cantSplit/>
        </w:trPr>
        <w:tc>
          <w:tcPr>
            <w:tcW w:type="dxa" w:w="1368"/>
            <w:tcMar>
              <w:top w:w="55" w:type="dxa"/>
              <w:start w:w="70" w:type="dxa"/>
              <w:bottom w:w="55" w:type="dxa"/>
              <w:end w:w="70" w:type="dxa"/>
            </w:tcMar>
            <w:vAlign w:val="top"/>
          </w:tcPr>
          <w:p>
            <w:pPr>
              <w:spacing w:after="10" w:line="240" w:lineRule="auto"/>
            </w:pPr>
            <w:r>
              <w:rPr>
                <w:rFonts w:ascii="Arial" w:hAnsi="Arial"/>
                <w:b/>
                <w:sz w:val="11"/>
              </w:rPr>
              <w:t>Folvite / Ovral L</w:t>
            </w:r>
          </w:p>
        </w:tc>
        <w:tc>
          <w:tcPr>
            <w:tcW w:type="dxa" w:w="1440"/>
            <w:tcMar>
              <w:top w:w="55" w:type="dxa"/>
              <w:start w:w="70" w:type="dxa"/>
              <w:bottom w:w="55" w:type="dxa"/>
              <w:end w:w="70" w:type="dxa"/>
            </w:tcMar>
            <w:vAlign w:val="top"/>
          </w:tcPr>
          <w:p>
            <w:pPr>
              <w:spacing w:after="10" w:line="240" w:lineRule="auto"/>
            </w:pPr>
            <w:r>
              <w:rPr>
                <w:rFonts w:ascii="Arial" w:hAnsi="Arial"/>
                <w:sz w:val="11"/>
              </w:rPr>
              <w:t>Folic acid / COC</w:t>
            </w:r>
          </w:p>
        </w:tc>
        <w:tc>
          <w:tcPr>
            <w:tcW w:type="dxa" w:w="1728"/>
            <w:tcMar>
              <w:top w:w="55" w:type="dxa"/>
              <w:start w:w="70" w:type="dxa"/>
              <w:bottom w:w="55" w:type="dxa"/>
              <w:end w:w="70" w:type="dxa"/>
            </w:tcMar>
            <w:vAlign w:val="top"/>
          </w:tcPr>
          <w:p>
            <w:pPr>
              <w:spacing w:after="10" w:line="240" w:lineRule="auto"/>
            </w:pPr>
            <w:r>
              <w:rPr>
                <w:rFonts w:ascii="Arial" w:hAnsi="Arial"/>
                <w:sz w:val="11"/>
              </w:rPr>
              <w:t>Women’s health</w:t>
            </w:r>
          </w:p>
        </w:tc>
        <w:tc>
          <w:tcPr>
            <w:tcW w:type="dxa" w:w="1440"/>
            <w:tcMar>
              <w:top w:w="55" w:type="dxa"/>
              <w:start w:w="70" w:type="dxa"/>
              <w:bottom w:w="55" w:type="dxa"/>
              <w:end w:w="70" w:type="dxa"/>
            </w:tcMar>
            <w:vAlign w:val="top"/>
          </w:tcPr>
          <w:p>
            <w:pPr>
              <w:spacing w:after="10" w:line="240" w:lineRule="auto"/>
            </w:pPr>
            <w:r>
              <w:rPr>
                <w:rFonts w:ascii="Arial" w:hAnsi="Arial"/>
                <w:sz w:val="11"/>
              </w:rPr>
              <w:t>Pfizer Limited</w:t>
            </w:r>
          </w:p>
        </w:tc>
        <w:tc>
          <w:tcPr>
            <w:tcW w:type="dxa" w:w="1440"/>
            <w:tcMar>
              <w:top w:w="55" w:type="dxa"/>
              <w:start w:w="70" w:type="dxa"/>
              <w:bottom w:w="55" w:type="dxa"/>
              <w:end w:w="70" w:type="dxa"/>
            </w:tcMar>
            <w:vAlign w:val="top"/>
          </w:tcPr>
          <w:p>
            <w:pPr>
              <w:spacing w:after="10" w:line="240" w:lineRule="auto"/>
            </w:pPr>
            <w:r>
              <w:rPr>
                <w:rFonts w:ascii="Arial" w:hAnsi="Arial"/>
                <w:sz w:val="11"/>
              </w:rPr>
              <w:t>Goa for Ovral/Folvite</w:t>
            </w:r>
          </w:p>
        </w:tc>
        <w:tc>
          <w:tcPr>
            <w:tcW w:type="dxa" w:w="1296"/>
            <w:tcMar>
              <w:top w:w="55" w:type="dxa"/>
              <w:start w:w="70" w:type="dxa"/>
              <w:bottom w:w="55" w:type="dxa"/>
              <w:end w:w="70" w:type="dxa"/>
            </w:tcMar>
            <w:vAlign w:val="top"/>
          </w:tcPr>
          <w:p>
            <w:pPr>
              <w:spacing w:after="10" w:line="240" w:lineRule="auto"/>
            </w:pPr>
            <w:r>
              <w:rPr>
                <w:rFonts w:ascii="Arial" w:hAnsi="Arial"/>
                <w:sz w:val="11"/>
              </w:rPr>
              <w:t>FY26 franchise BE ₹130cr</w:t>
            </w:r>
          </w:p>
        </w:tc>
        <w:tc>
          <w:tcPr>
            <w:tcW w:type="dxa" w:w="1800"/>
            <w:tcMar>
              <w:top w:w="55" w:type="dxa"/>
              <w:start w:w="70" w:type="dxa"/>
              <w:bottom w:w="55" w:type="dxa"/>
              <w:end w:w="70" w:type="dxa"/>
            </w:tcMar>
            <w:vAlign w:val="top"/>
          </w:tcPr>
          <w:p>
            <w:pPr>
              <w:spacing w:after="10" w:line="240" w:lineRule="auto"/>
            </w:pPr>
            <w:r>
              <w:rPr>
                <w:rFonts w:ascii="Arial" w:hAnsi="Arial"/>
                <w:sz w:val="11"/>
              </w:rPr>
              <w:t>24% folic combinations / 19% COC represented share</w:t>
            </w:r>
          </w:p>
        </w:tc>
        <w:tc>
          <w:tcPr>
            <w:tcW w:type="dxa" w:w="1440"/>
            <w:tcMar>
              <w:top w:w="55" w:type="dxa"/>
              <w:start w:w="70" w:type="dxa"/>
              <w:bottom w:w="55" w:type="dxa"/>
              <w:end w:w="70" w:type="dxa"/>
            </w:tcMar>
            <w:vAlign w:val="top"/>
          </w:tcPr>
          <w:p>
            <w:pPr>
              <w:spacing w:after="10" w:line="240" w:lineRule="auto"/>
            </w:pPr>
            <w:r>
              <w:rPr>
                <w:rFonts w:ascii="Arial" w:hAnsi="Arial"/>
                <w:sz w:val="11"/>
              </w:rPr>
              <w:t>Mature leadership</w:t>
            </w:r>
          </w:p>
        </w:tc>
      </w:tr>
      <w:tr>
        <w:trPr>
          <w:cantSplit/>
        </w:trPr>
        <w:tc>
          <w:tcPr>
            <w:tcW w:type="dxa" w:w="1368"/>
            <w:shd w:fill="F7F7F7"/>
            <w:tcMar>
              <w:top w:w="55" w:type="dxa"/>
              <w:start w:w="70" w:type="dxa"/>
              <w:bottom w:w="55" w:type="dxa"/>
              <w:end w:w="70" w:type="dxa"/>
            </w:tcMar>
            <w:vAlign w:val="top"/>
          </w:tcPr>
          <w:p>
            <w:pPr>
              <w:spacing w:after="10" w:line="240" w:lineRule="auto"/>
            </w:pPr>
            <w:r>
              <w:rPr>
                <w:rFonts w:ascii="Arial" w:hAnsi="Arial"/>
                <w:b/>
                <w:sz w:val="11"/>
              </w:rPr>
              <w:t>Zithromax</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Azithromycin</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1"/>
              </w:rPr>
              <w:t>Anti-infective</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Pfizer Limited</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Not disclosed</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1"/>
              </w:rPr>
              <w:t>N/D</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1"/>
              </w:rPr>
              <w:t>N/D</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Mature brand</w:t>
            </w:r>
          </w:p>
        </w:tc>
      </w:tr>
      <w:tr>
        <w:trPr>
          <w:cantSplit/>
        </w:trPr>
        <w:tc>
          <w:tcPr>
            <w:tcW w:type="dxa" w:w="1368"/>
            <w:tcMar>
              <w:top w:w="55" w:type="dxa"/>
              <w:start w:w="70" w:type="dxa"/>
              <w:bottom w:w="55" w:type="dxa"/>
              <w:end w:w="70" w:type="dxa"/>
            </w:tcMar>
            <w:vAlign w:val="top"/>
          </w:tcPr>
          <w:p>
            <w:pPr>
              <w:spacing w:after="10" w:line="240" w:lineRule="auto"/>
            </w:pPr>
            <w:r>
              <w:rPr>
                <w:rFonts w:ascii="Arial" w:hAnsi="Arial"/>
                <w:b/>
                <w:sz w:val="11"/>
              </w:rPr>
              <w:t>Amlogard</w:t>
            </w:r>
          </w:p>
        </w:tc>
        <w:tc>
          <w:tcPr>
            <w:tcW w:type="dxa" w:w="1440"/>
            <w:tcMar>
              <w:top w:w="55" w:type="dxa"/>
              <w:start w:w="70" w:type="dxa"/>
              <w:bottom w:w="55" w:type="dxa"/>
              <w:end w:w="70" w:type="dxa"/>
            </w:tcMar>
            <w:vAlign w:val="top"/>
          </w:tcPr>
          <w:p>
            <w:pPr>
              <w:spacing w:after="10" w:line="240" w:lineRule="auto"/>
            </w:pPr>
            <w:r>
              <w:rPr>
                <w:rFonts w:ascii="Arial" w:hAnsi="Arial"/>
                <w:sz w:val="11"/>
              </w:rPr>
              <w:t>Amlodipine</w:t>
            </w:r>
          </w:p>
        </w:tc>
        <w:tc>
          <w:tcPr>
            <w:tcW w:type="dxa" w:w="1728"/>
            <w:tcMar>
              <w:top w:w="55" w:type="dxa"/>
              <w:start w:w="70" w:type="dxa"/>
              <w:bottom w:w="55" w:type="dxa"/>
              <w:end w:w="70" w:type="dxa"/>
            </w:tcMar>
            <w:vAlign w:val="top"/>
          </w:tcPr>
          <w:p>
            <w:pPr>
              <w:spacing w:after="10" w:line="240" w:lineRule="auto"/>
            </w:pPr>
            <w:r>
              <w:rPr>
                <w:rFonts w:ascii="Arial" w:hAnsi="Arial"/>
                <w:sz w:val="11"/>
              </w:rPr>
              <w:t>Hypertension</w:t>
            </w:r>
          </w:p>
        </w:tc>
        <w:tc>
          <w:tcPr>
            <w:tcW w:type="dxa" w:w="1440"/>
            <w:tcMar>
              <w:top w:w="55" w:type="dxa"/>
              <w:start w:w="70" w:type="dxa"/>
              <w:bottom w:w="55" w:type="dxa"/>
              <w:end w:w="70" w:type="dxa"/>
            </w:tcMar>
            <w:vAlign w:val="top"/>
          </w:tcPr>
          <w:p>
            <w:pPr>
              <w:spacing w:after="10" w:line="240" w:lineRule="auto"/>
            </w:pPr>
            <w:r>
              <w:rPr>
                <w:rFonts w:ascii="Arial" w:hAnsi="Arial"/>
                <w:sz w:val="11"/>
              </w:rPr>
              <w:t>Mylan/Viatris since Aug 2022</w:t>
            </w:r>
          </w:p>
        </w:tc>
        <w:tc>
          <w:tcPr>
            <w:tcW w:type="dxa" w:w="1440"/>
            <w:tcMar>
              <w:top w:w="55" w:type="dxa"/>
              <w:start w:w="70" w:type="dxa"/>
              <w:bottom w:w="55" w:type="dxa"/>
              <w:end w:w="70" w:type="dxa"/>
            </w:tcMar>
            <w:vAlign w:val="top"/>
          </w:tcPr>
          <w:p>
            <w:pPr>
              <w:spacing w:after="10" w:line="240" w:lineRule="auto"/>
            </w:pPr>
            <w:r>
              <w:rPr>
                <w:rFonts w:ascii="Arial" w:hAnsi="Arial"/>
                <w:sz w:val="11"/>
              </w:rPr>
              <w:t>Transferred</w:t>
            </w:r>
          </w:p>
        </w:tc>
        <w:tc>
          <w:tcPr>
            <w:tcW w:type="dxa" w:w="1296"/>
            <w:tcMar>
              <w:top w:w="55" w:type="dxa"/>
              <w:start w:w="70" w:type="dxa"/>
              <w:bottom w:w="55" w:type="dxa"/>
              <w:end w:w="70" w:type="dxa"/>
            </w:tcMar>
            <w:vAlign w:val="top"/>
          </w:tcPr>
          <w:p>
            <w:pPr>
              <w:spacing w:after="10" w:line="240" w:lineRule="auto"/>
            </w:pPr>
            <w:r>
              <w:rPr>
                <w:rFonts w:ascii="Arial" w:hAnsi="Arial"/>
                <w:sz w:val="11"/>
              </w:rPr>
              <w:t>₹0 in listed FY24-FY26</w:t>
            </w:r>
          </w:p>
        </w:tc>
        <w:tc>
          <w:tcPr>
            <w:tcW w:type="dxa" w:w="1800"/>
            <w:tcMar>
              <w:top w:w="55" w:type="dxa"/>
              <w:start w:w="70" w:type="dxa"/>
              <w:bottom w:w="55" w:type="dxa"/>
              <w:end w:w="70" w:type="dxa"/>
            </w:tcMar>
            <w:vAlign w:val="top"/>
          </w:tcPr>
          <w:p>
            <w:pPr>
              <w:spacing w:after="10" w:line="240" w:lineRule="auto"/>
            </w:pPr>
            <w:r>
              <w:rPr>
                <w:rFonts w:ascii="Arial" w:hAnsi="Arial"/>
                <w:sz w:val="11"/>
              </w:rPr>
              <w:t>Not applicable</w:t>
            </w:r>
          </w:p>
        </w:tc>
        <w:tc>
          <w:tcPr>
            <w:tcW w:type="dxa" w:w="1440"/>
            <w:tcMar>
              <w:top w:w="55" w:type="dxa"/>
              <w:start w:w="70" w:type="dxa"/>
              <w:bottom w:w="55" w:type="dxa"/>
              <w:end w:w="70" w:type="dxa"/>
            </w:tcMar>
            <w:vAlign w:val="top"/>
          </w:tcPr>
          <w:p>
            <w:pPr>
              <w:spacing w:after="10" w:line="240" w:lineRule="auto"/>
            </w:pPr>
            <w:r>
              <w:rPr>
                <w:rFonts w:ascii="Arial" w:hAnsi="Arial"/>
                <w:sz w:val="11"/>
              </w:rPr>
              <w:t>Outside perimeter</w:t>
            </w:r>
          </w:p>
        </w:tc>
      </w:tr>
    </w:tbl>
    <w:p>
      <w:pPr>
        <w:pStyle w:val="Source"/>
      </w:pPr>
      <w:r>
        <w:t>Source: Company-reported market data are IQVIA MAT Mar-26 as reproduced in FY26 Annual Report, pp. 50-57 [S1]. Sales estimates are Bernstein estimates, not company disclosure. Prices/products [S4].</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592"/>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Franchise</w:t>
            </w:r>
          </w:p>
        </w:tc>
        <w:tc>
          <w:tcPr>
            <w:tcW w:type="dxa" w:w="2088"/>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FY24A / BE allocation</w:t>
            </w:r>
          </w:p>
        </w:tc>
        <w:tc>
          <w:tcPr>
            <w:tcW w:type="dxa" w:w="2088"/>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FY25A / BE allocation</w:t>
            </w:r>
          </w:p>
        </w:tc>
        <w:tc>
          <w:tcPr>
            <w:tcW w:type="dxa" w:w="2088"/>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FY26A / BE allocation</w:t>
            </w:r>
          </w:p>
        </w:tc>
        <w:tc>
          <w:tcPr>
            <w:tcW w:type="dxa" w:w="1440"/>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FY26 mix</w:t>
            </w:r>
          </w:p>
        </w:tc>
      </w:tr>
      <w:tr>
        <w:trPr>
          <w:cantSplit/>
        </w:trPr>
        <w:tc>
          <w:tcPr>
            <w:tcW w:type="dxa" w:w="2592"/>
            <w:tcMar>
              <w:top w:w="55" w:type="dxa"/>
              <w:start w:w="70" w:type="dxa"/>
              <w:bottom w:w="55" w:type="dxa"/>
              <w:end w:w="70" w:type="dxa"/>
            </w:tcMar>
            <w:vAlign w:val="top"/>
          </w:tcPr>
          <w:p>
            <w:pPr>
              <w:spacing w:after="10" w:line="240" w:lineRule="auto"/>
            </w:pPr>
            <w:r>
              <w:rPr>
                <w:rFonts w:ascii="Arial" w:hAnsi="Arial"/>
                <w:b/>
                <w:sz w:val="14"/>
              </w:rPr>
              <w:t>Vaccines</w:t>
            </w:r>
          </w:p>
        </w:tc>
        <w:tc>
          <w:tcPr>
            <w:tcW w:type="dxa" w:w="2088"/>
            <w:tcMar>
              <w:top w:w="55" w:type="dxa"/>
              <w:start w:w="70" w:type="dxa"/>
              <w:bottom w:w="55" w:type="dxa"/>
              <w:end w:w="70" w:type="dxa"/>
            </w:tcMar>
            <w:vAlign w:val="top"/>
          </w:tcPr>
          <w:p>
            <w:pPr>
              <w:spacing w:after="10" w:line="240" w:lineRule="auto"/>
            </w:pPr>
            <w:r>
              <w:rPr>
                <w:rFonts w:ascii="Arial" w:hAnsi="Arial"/>
                <w:sz w:val="14"/>
              </w:rPr>
              <w:t>300</w:t>
            </w:r>
          </w:p>
        </w:tc>
        <w:tc>
          <w:tcPr>
            <w:tcW w:type="dxa" w:w="2088"/>
            <w:tcMar>
              <w:top w:w="55" w:type="dxa"/>
              <w:start w:w="70" w:type="dxa"/>
              <w:bottom w:w="55" w:type="dxa"/>
              <w:end w:w="70" w:type="dxa"/>
            </w:tcMar>
            <w:vAlign w:val="top"/>
          </w:tcPr>
          <w:p>
            <w:pPr>
              <w:spacing w:after="10" w:line="240" w:lineRule="auto"/>
            </w:pPr>
            <w:r>
              <w:rPr>
                <w:rFonts w:ascii="Arial" w:hAnsi="Arial"/>
                <w:sz w:val="14"/>
              </w:rPr>
              <w:t>335</w:t>
            </w:r>
          </w:p>
        </w:tc>
        <w:tc>
          <w:tcPr>
            <w:tcW w:type="dxa" w:w="2088"/>
            <w:tcMar>
              <w:top w:w="55" w:type="dxa"/>
              <w:start w:w="70" w:type="dxa"/>
              <w:bottom w:w="55" w:type="dxa"/>
              <w:end w:w="70" w:type="dxa"/>
            </w:tcMar>
            <w:vAlign w:val="top"/>
          </w:tcPr>
          <w:p>
            <w:pPr>
              <w:spacing w:after="10" w:line="240" w:lineRule="auto"/>
            </w:pPr>
            <w:r>
              <w:rPr>
                <w:rFonts w:ascii="Arial" w:hAnsi="Arial"/>
                <w:sz w:val="14"/>
              </w:rPr>
              <w:t>410</w:t>
            </w:r>
          </w:p>
        </w:tc>
        <w:tc>
          <w:tcPr>
            <w:tcW w:type="dxa" w:w="1440"/>
            <w:tcMar>
              <w:top w:w="55" w:type="dxa"/>
              <w:start w:w="70" w:type="dxa"/>
              <w:bottom w:w="55" w:type="dxa"/>
              <w:end w:w="70" w:type="dxa"/>
            </w:tcMar>
            <w:vAlign w:val="top"/>
          </w:tcPr>
          <w:p>
            <w:pPr>
              <w:spacing w:after="10" w:line="240" w:lineRule="auto"/>
            </w:pPr>
            <w:r>
              <w:rPr>
                <w:rFonts w:ascii="Arial" w:hAnsi="Arial"/>
                <w:sz w:val="14"/>
              </w:rPr>
              <w:t>17.1%</w:t>
            </w:r>
          </w:p>
        </w:tc>
      </w:tr>
      <w:tr>
        <w:trPr>
          <w:cantSplit/>
        </w:trPr>
        <w:tc>
          <w:tcPr>
            <w:tcW w:type="dxa" w:w="2592"/>
            <w:shd w:fill="F7F7F7"/>
            <w:tcMar>
              <w:top w:w="55" w:type="dxa"/>
              <w:start w:w="70" w:type="dxa"/>
              <w:bottom w:w="55" w:type="dxa"/>
              <w:end w:w="70" w:type="dxa"/>
            </w:tcMar>
            <w:vAlign w:val="top"/>
          </w:tcPr>
          <w:p>
            <w:pPr>
              <w:spacing w:after="10" w:line="240" w:lineRule="auto"/>
            </w:pPr>
            <w:r>
              <w:rPr>
                <w:rFonts w:ascii="Arial" w:hAnsi="Arial"/>
                <w:b/>
                <w:sz w:val="14"/>
              </w:rPr>
              <w:t>Eliquis</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190</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240</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312</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4"/>
              </w:rPr>
              <w:t>13.1%</w:t>
            </w:r>
          </w:p>
        </w:tc>
      </w:tr>
      <w:tr>
        <w:trPr>
          <w:cantSplit/>
        </w:trPr>
        <w:tc>
          <w:tcPr>
            <w:tcW w:type="dxa" w:w="2592"/>
            <w:tcMar>
              <w:top w:w="55" w:type="dxa"/>
              <w:start w:w="70" w:type="dxa"/>
              <w:bottom w:w="55" w:type="dxa"/>
              <w:end w:w="70" w:type="dxa"/>
            </w:tcMar>
            <w:vAlign w:val="top"/>
          </w:tcPr>
          <w:p>
            <w:pPr>
              <w:spacing w:after="10" w:line="240" w:lineRule="auto"/>
            </w:pPr>
            <w:r>
              <w:rPr>
                <w:rFonts w:ascii="Arial" w:hAnsi="Arial"/>
                <w:b/>
                <w:sz w:val="14"/>
              </w:rPr>
              <w:t>Becosules franchise</w:t>
            </w:r>
          </w:p>
        </w:tc>
        <w:tc>
          <w:tcPr>
            <w:tcW w:type="dxa" w:w="2088"/>
            <w:tcMar>
              <w:top w:w="55" w:type="dxa"/>
              <w:start w:w="70" w:type="dxa"/>
              <w:bottom w:w="55" w:type="dxa"/>
              <w:end w:w="70" w:type="dxa"/>
            </w:tcMar>
            <w:vAlign w:val="top"/>
          </w:tcPr>
          <w:p>
            <w:pPr>
              <w:spacing w:after="10" w:line="240" w:lineRule="auto"/>
            </w:pPr>
            <w:r>
              <w:rPr>
                <w:rFonts w:ascii="Arial" w:hAnsi="Arial"/>
                <w:sz w:val="14"/>
              </w:rPr>
              <w:t>220</w:t>
            </w:r>
          </w:p>
        </w:tc>
        <w:tc>
          <w:tcPr>
            <w:tcW w:type="dxa" w:w="2088"/>
            <w:tcMar>
              <w:top w:w="55" w:type="dxa"/>
              <w:start w:w="70" w:type="dxa"/>
              <w:bottom w:w="55" w:type="dxa"/>
              <w:end w:w="70" w:type="dxa"/>
            </w:tcMar>
            <w:vAlign w:val="top"/>
          </w:tcPr>
          <w:p>
            <w:pPr>
              <w:spacing w:after="10" w:line="240" w:lineRule="auto"/>
            </w:pPr>
            <w:r>
              <w:rPr>
                <w:rFonts w:ascii="Arial" w:hAnsi="Arial"/>
                <w:sz w:val="14"/>
              </w:rPr>
              <w:t>235</w:t>
            </w:r>
          </w:p>
        </w:tc>
        <w:tc>
          <w:tcPr>
            <w:tcW w:type="dxa" w:w="2088"/>
            <w:tcMar>
              <w:top w:w="55" w:type="dxa"/>
              <w:start w:w="70" w:type="dxa"/>
              <w:bottom w:w="55" w:type="dxa"/>
              <w:end w:w="70" w:type="dxa"/>
            </w:tcMar>
            <w:vAlign w:val="top"/>
          </w:tcPr>
          <w:p>
            <w:pPr>
              <w:spacing w:after="10" w:line="240" w:lineRule="auto"/>
            </w:pPr>
            <w:r>
              <w:rPr>
                <w:rFonts w:ascii="Arial" w:hAnsi="Arial"/>
                <w:sz w:val="14"/>
              </w:rPr>
              <w:t>250</w:t>
            </w:r>
          </w:p>
        </w:tc>
        <w:tc>
          <w:tcPr>
            <w:tcW w:type="dxa" w:w="1440"/>
            <w:tcMar>
              <w:top w:w="55" w:type="dxa"/>
              <w:start w:w="70" w:type="dxa"/>
              <w:bottom w:w="55" w:type="dxa"/>
              <w:end w:w="70" w:type="dxa"/>
            </w:tcMar>
            <w:vAlign w:val="top"/>
          </w:tcPr>
          <w:p>
            <w:pPr>
              <w:spacing w:after="10" w:line="240" w:lineRule="auto"/>
            </w:pPr>
            <w:r>
              <w:rPr>
                <w:rFonts w:ascii="Arial" w:hAnsi="Arial"/>
                <w:sz w:val="14"/>
              </w:rPr>
              <w:t>10.5%</w:t>
            </w:r>
          </w:p>
        </w:tc>
      </w:tr>
      <w:tr>
        <w:trPr>
          <w:cantSplit/>
        </w:trPr>
        <w:tc>
          <w:tcPr>
            <w:tcW w:type="dxa" w:w="2592"/>
            <w:shd w:fill="F7F7F7"/>
            <w:tcMar>
              <w:top w:w="55" w:type="dxa"/>
              <w:start w:w="70" w:type="dxa"/>
              <w:bottom w:w="55" w:type="dxa"/>
              <w:end w:w="70" w:type="dxa"/>
            </w:tcMar>
            <w:vAlign w:val="top"/>
          </w:tcPr>
          <w:p>
            <w:pPr>
              <w:spacing w:after="10" w:line="240" w:lineRule="auto"/>
            </w:pPr>
            <w:r>
              <w:rPr>
                <w:rFonts w:ascii="Arial" w:hAnsi="Arial"/>
                <w:b/>
                <w:sz w:val="14"/>
              </w:rPr>
              <w:t>Corex franchise</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160</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175</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180</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4"/>
              </w:rPr>
              <w:t>7.6%</w:t>
            </w:r>
          </w:p>
        </w:tc>
      </w:tr>
      <w:tr>
        <w:trPr>
          <w:cantSplit/>
        </w:trPr>
        <w:tc>
          <w:tcPr>
            <w:tcW w:type="dxa" w:w="2592"/>
            <w:tcMar>
              <w:top w:w="55" w:type="dxa"/>
              <w:start w:w="70" w:type="dxa"/>
              <w:bottom w:w="55" w:type="dxa"/>
              <w:end w:w="70" w:type="dxa"/>
            </w:tcMar>
            <w:vAlign w:val="top"/>
          </w:tcPr>
          <w:p>
            <w:pPr>
              <w:spacing w:after="10" w:line="240" w:lineRule="auto"/>
            </w:pPr>
            <w:r>
              <w:rPr>
                <w:rFonts w:ascii="Arial" w:hAnsi="Arial"/>
                <w:b/>
                <w:sz w:val="14"/>
              </w:rPr>
              <w:t>Hospital anti-infectives</w:t>
            </w:r>
          </w:p>
        </w:tc>
        <w:tc>
          <w:tcPr>
            <w:tcW w:type="dxa" w:w="2088"/>
            <w:tcMar>
              <w:top w:w="55" w:type="dxa"/>
              <w:start w:w="70" w:type="dxa"/>
              <w:bottom w:w="55" w:type="dxa"/>
              <w:end w:w="70" w:type="dxa"/>
            </w:tcMar>
            <w:vAlign w:val="top"/>
          </w:tcPr>
          <w:p>
            <w:pPr>
              <w:spacing w:after="10" w:line="240" w:lineRule="auto"/>
            </w:pPr>
            <w:r>
              <w:rPr>
                <w:rFonts w:ascii="Arial" w:hAnsi="Arial"/>
                <w:sz w:val="14"/>
              </w:rPr>
              <w:t>300</w:t>
            </w:r>
          </w:p>
        </w:tc>
        <w:tc>
          <w:tcPr>
            <w:tcW w:type="dxa" w:w="2088"/>
            <w:tcMar>
              <w:top w:w="55" w:type="dxa"/>
              <w:start w:w="70" w:type="dxa"/>
              <w:bottom w:w="55" w:type="dxa"/>
              <w:end w:w="70" w:type="dxa"/>
            </w:tcMar>
            <w:vAlign w:val="top"/>
          </w:tcPr>
          <w:p>
            <w:pPr>
              <w:spacing w:after="10" w:line="240" w:lineRule="auto"/>
            </w:pPr>
            <w:r>
              <w:rPr>
                <w:rFonts w:ascii="Arial" w:hAnsi="Arial"/>
                <w:sz w:val="14"/>
              </w:rPr>
              <w:t>340</w:t>
            </w:r>
          </w:p>
        </w:tc>
        <w:tc>
          <w:tcPr>
            <w:tcW w:type="dxa" w:w="2088"/>
            <w:tcMar>
              <w:top w:w="55" w:type="dxa"/>
              <w:start w:w="70" w:type="dxa"/>
              <w:bottom w:w="55" w:type="dxa"/>
              <w:end w:w="70" w:type="dxa"/>
            </w:tcMar>
            <w:vAlign w:val="top"/>
          </w:tcPr>
          <w:p>
            <w:pPr>
              <w:spacing w:after="10" w:line="240" w:lineRule="auto"/>
            </w:pPr>
            <w:r>
              <w:rPr>
                <w:rFonts w:ascii="Arial" w:hAnsi="Arial"/>
                <w:sz w:val="14"/>
              </w:rPr>
              <w:t>390</w:t>
            </w:r>
          </w:p>
        </w:tc>
        <w:tc>
          <w:tcPr>
            <w:tcW w:type="dxa" w:w="1440"/>
            <w:tcMar>
              <w:top w:w="55" w:type="dxa"/>
              <w:start w:w="70" w:type="dxa"/>
              <w:bottom w:w="55" w:type="dxa"/>
              <w:end w:w="70" w:type="dxa"/>
            </w:tcMar>
            <w:vAlign w:val="top"/>
          </w:tcPr>
          <w:p>
            <w:pPr>
              <w:spacing w:after="10" w:line="240" w:lineRule="auto"/>
            </w:pPr>
            <w:r>
              <w:rPr>
                <w:rFonts w:ascii="Arial" w:hAnsi="Arial"/>
                <w:sz w:val="14"/>
              </w:rPr>
              <w:t>16.4%</w:t>
            </w:r>
          </w:p>
        </w:tc>
      </w:tr>
      <w:tr>
        <w:trPr>
          <w:cantSplit/>
        </w:trPr>
        <w:tc>
          <w:tcPr>
            <w:tcW w:type="dxa" w:w="2592"/>
            <w:shd w:fill="F7F7F7"/>
            <w:tcMar>
              <w:top w:w="55" w:type="dxa"/>
              <w:start w:w="70" w:type="dxa"/>
              <w:bottom w:w="55" w:type="dxa"/>
              <w:end w:w="70" w:type="dxa"/>
            </w:tcMar>
            <w:vAlign w:val="top"/>
          </w:tcPr>
          <w:p>
            <w:pPr>
              <w:spacing w:after="10" w:line="240" w:lineRule="auto"/>
            </w:pPr>
            <w:r>
              <w:rPr>
                <w:rFonts w:ascii="Arial" w:hAnsi="Arial"/>
                <w:b/>
                <w:sz w:val="14"/>
              </w:rPr>
              <w:t>Women’s health</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115</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120</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130</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4"/>
              </w:rPr>
              <w:t>5.5%</w:t>
            </w:r>
          </w:p>
        </w:tc>
      </w:tr>
      <w:tr>
        <w:trPr>
          <w:cantSplit/>
        </w:trPr>
        <w:tc>
          <w:tcPr>
            <w:tcW w:type="dxa" w:w="2592"/>
            <w:tcMar>
              <w:top w:w="55" w:type="dxa"/>
              <w:start w:w="70" w:type="dxa"/>
              <w:bottom w:w="55" w:type="dxa"/>
              <w:end w:w="70" w:type="dxa"/>
            </w:tcMar>
            <w:vAlign w:val="top"/>
          </w:tcPr>
          <w:p>
            <w:pPr>
              <w:spacing w:after="10" w:line="240" w:lineRule="auto"/>
            </w:pPr>
            <w:r>
              <w:rPr>
                <w:rFonts w:ascii="Arial" w:hAnsi="Arial"/>
                <w:b/>
                <w:sz w:val="14"/>
              </w:rPr>
              <w:t>Minipress XL</w:t>
            </w:r>
          </w:p>
        </w:tc>
        <w:tc>
          <w:tcPr>
            <w:tcW w:type="dxa" w:w="2088"/>
            <w:tcMar>
              <w:top w:w="55" w:type="dxa"/>
              <w:start w:w="70" w:type="dxa"/>
              <w:bottom w:w="55" w:type="dxa"/>
              <w:end w:w="70" w:type="dxa"/>
            </w:tcMar>
            <w:vAlign w:val="top"/>
          </w:tcPr>
          <w:p>
            <w:pPr>
              <w:spacing w:after="10" w:line="240" w:lineRule="auto"/>
            </w:pPr>
            <w:r>
              <w:rPr>
                <w:rFonts w:ascii="Arial" w:hAnsi="Arial"/>
                <w:sz w:val="14"/>
              </w:rPr>
              <w:t>95</w:t>
            </w:r>
          </w:p>
        </w:tc>
        <w:tc>
          <w:tcPr>
            <w:tcW w:type="dxa" w:w="2088"/>
            <w:tcMar>
              <w:top w:w="55" w:type="dxa"/>
              <w:start w:w="70" w:type="dxa"/>
              <w:bottom w:w="55" w:type="dxa"/>
              <w:end w:w="70" w:type="dxa"/>
            </w:tcMar>
            <w:vAlign w:val="top"/>
          </w:tcPr>
          <w:p>
            <w:pPr>
              <w:spacing w:after="10" w:line="240" w:lineRule="auto"/>
            </w:pPr>
            <w:r>
              <w:rPr>
                <w:rFonts w:ascii="Arial" w:hAnsi="Arial"/>
                <w:sz w:val="14"/>
              </w:rPr>
              <w:t>105</w:t>
            </w:r>
          </w:p>
        </w:tc>
        <w:tc>
          <w:tcPr>
            <w:tcW w:type="dxa" w:w="2088"/>
            <w:tcMar>
              <w:top w:w="55" w:type="dxa"/>
              <w:start w:w="70" w:type="dxa"/>
              <w:bottom w:w="55" w:type="dxa"/>
              <w:end w:w="70" w:type="dxa"/>
            </w:tcMar>
            <w:vAlign w:val="top"/>
          </w:tcPr>
          <w:p>
            <w:pPr>
              <w:spacing w:after="10" w:line="240" w:lineRule="auto"/>
            </w:pPr>
            <w:r>
              <w:rPr>
                <w:rFonts w:ascii="Arial" w:hAnsi="Arial"/>
                <w:sz w:val="14"/>
              </w:rPr>
              <w:t>110</w:t>
            </w:r>
          </w:p>
        </w:tc>
        <w:tc>
          <w:tcPr>
            <w:tcW w:type="dxa" w:w="1440"/>
            <w:tcMar>
              <w:top w:w="55" w:type="dxa"/>
              <w:start w:w="70" w:type="dxa"/>
              <w:bottom w:w="55" w:type="dxa"/>
              <w:end w:w="70" w:type="dxa"/>
            </w:tcMar>
            <w:vAlign w:val="top"/>
          </w:tcPr>
          <w:p>
            <w:pPr>
              <w:spacing w:after="10" w:line="240" w:lineRule="auto"/>
            </w:pPr>
            <w:r>
              <w:rPr>
                <w:rFonts w:ascii="Arial" w:hAnsi="Arial"/>
                <w:sz w:val="14"/>
              </w:rPr>
              <w:t>4.6%</w:t>
            </w:r>
          </w:p>
        </w:tc>
      </w:tr>
      <w:tr>
        <w:trPr>
          <w:cantSplit/>
        </w:trPr>
        <w:tc>
          <w:tcPr>
            <w:tcW w:type="dxa" w:w="2592"/>
            <w:shd w:fill="F7F7F7"/>
            <w:tcMar>
              <w:top w:w="55" w:type="dxa"/>
              <w:start w:w="70" w:type="dxa"/>
              <w:bottom w:w="55" w:type="dxa"/>
              <w:end w:w="70" w:type="dxa"/>
            </w:tcMar>
            <w:vAlign w:val="top"/>
          </w:tcPr>
          <w:p>
            <w:pPr>
              <w:spacing w:after="10" w:line="240" w:lineRule="auto"/>
            </w:pPr>
            <w:r>
              <w:rPr>
                <w:rFonts w:ascii="Arial" w:hAnsi="Arial"/>
                <w:b/>
                <w:sz w:val="14"/>
              </w:rPr>
              <w:t>Immunology</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90</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100</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115</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4"/>
              </w:rPr>
              <w:t>4.8%</w:t>
            </w:r>
          </w:p>
        </w:tc>
      </w:tr>
      <w:tr>
        <w:trPr>
          <w:cantSplit/>
        </w:trPr>
        <w:tc>
          <w:tcPr>
            <w:tcW w:type="dxa" w:w="2592"/>
            <w:tcMar>
              <w:top w:w="55" w:type="dxa"/>
              <w:start w:w="70" w:type="dxa"/>
              <w:bottom w:w="55" w:type="dxa"/>
              <w:end w:w="70" w:type="dxa"/>
            </w:tcMar>
            <w:vAlign w:val="top"/>
          </w:tcPr>
          <w:p>
            <w:pPr>
              <w:spacing w:after="10" w:line="240" w:lineRule="auto"/>
            </w:pPr>
            <w:r>
              <w:rPr>
                <w:rFonts w:ascii="Arial" w:hAnsi="Arial"/>
                <w:b/>
                <w:sz w:val="14"/>
              </w:rPr>
              <w:t>Pain/inflammation</w:t>
            </w:r>
          </w:p>
        </w:tc>
        <w:tc>
          <w:tcPr>
            <w:tcW w:type="dxa" w:w="2088"/>
            <w:tcMar>
              <w:top w:w="55" w:type="dxa"/>
              <w:start w:w="70" w:type="dxa"/>
              <w:bottom w:w="55" w:type="dxa"/>
              <w:end w:w="70" w:type="dxa"/>
            </w:tcMar>
            <w:vAlign w:val="top"/>
          </w:tcPr>
          <w:p>
            <w:pPr>
              <w:spacing w:after="10" w:line="240" w:lineRule="auto"/>
            </w:pPr>
            <w:r>
              <w:rPr>
                <w:rFonts w:ascii="Arial" w:hAnsi="Arial"/>
                <w:sz w:val="14"/>
              </w:rPr>
              <w:t>95</w:t>
            </w:r>
          </w:p>
        </w:tc>
        <w:tc>
          <w:tcPr>
            <w:tcW w:type="dxa" w:w="2088"/>
            <w:tcMar>
              <w:top w:w="55" w:type="dxa"/>
              <w:start w:w="70" w:type="dxa"/>
              <w:bottom w:w="55" w:type="dxa"/>
              <w:end w:w="70" w:type="dxa"/>
            </w:tcMar>
            <w:vAlign w:val="top"/>
          </w:tcPr>
          <w:p>
            <w:pPr>
              <w:spacing w:after="10" w:line="240" w:lineRule="auto"/>
            </w:pPr>
            <w:r>
              <w:rPr>
                <w:rFonts w:ascii="Arial" w:hAnsi="Arial"/>
                <w:sz w:val="14"/>
              </w:rPr>
              <w:t>95</w:t>
            </w:r>
          </w:p>
        </w:tc>
        <w:tc>
          <w:tcPr>
            <w:tcW w:type="dxa" w:w="2088"/>
            <w:tcMar>
              <w:top w:w="55" w:type="dxa"/>
              <w:start w:w="70" w:type="dxa"/>
              <w:bottom w:w="55" w:type="dxa"/>
              <w:end w:w="70" w:type="dxa"/>
            </w:tcMar>
            <w:vAlign w:val="top"/>
          </w:tcPr>
          <w:p>
            <w:pPr>
              <w:spacing w:after="10" w:line="240" w:lineRule="auto"/>
            </w:pPr>
            <w:r>
              <w:rPr>
                <w:rFonts w:ascii="Arial" w:hAnsi="Arial"/>
                <w:sz w:val="14"/>
              </w:rPr>
              <w:t>95</w:t>
            </w:r>
          </w:p>
        </w:tc>
        <w:tc>
          <w:tcPr>
            <w:tcW w:type="dxa" w:w="1440"/>
            <w:tcMar>
              <w:top w:w="55" w:type="dxa"/>
              <w:start w:w="70" w:type="dxa"/>
              <w:bottom w:w="55" w:type="dxa"/>
              <w:end w:w="70" w:type="dxa"/>
            </w:tcMar>
            <w:vAlign w:val="top"/>
          </w:tcPr>
          <w:p>
            <w:pPr>
              <w:spacing w:after="10" w:line="240" w:lineRule="auto"/>
            </w:pPr>
            <w:r>
              <w:rPr>
                <w:rFonts w:ascii="Arial" w:hAnsi="Arial"/>
                <w:sz w:val="14"/>
              </w:rPr>
              <w:t>4.0%</w:t>
            </w:r>
          </w:p>
        </w:tc>
      </w:tr>
      <w:tr>
        <w:trPr>
          <w:cantSplit/>
        </w:trPr>
        <w:tc>
          <w:tcPr>
            <w:tcW w:type="dxa" w:w="2592"/>
            <w:shd w:fill="F7F7F7"/>
            <w:tcMar>
              <w:top w:w="55" w:type="dxa"/>
              <w:start w:w="70" w:type="dxa"/>
              <w:bottom w:w="55" w:type="dxa"/>
              <w:end w:w="70" w:type="dxa"/>
            </w:tcMar>
            <w:vAlign w:val="top"/>
          </w:tcPr>
          <w:p>
            <w:pPr>
              <w:spacing w:after="10" w:line="240" w:lineRule="auto"/>
            </w:pPr>
            <w:r>
              <w:rPr>
                <w:rFonts w:ascii="Arial" w:hAnsi="Arial"/>
                <w:b/>
                <w:sz w:val="14"/>
              </w:rPr>
              <w:t>Gastroenterology</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100</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105</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110</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4"/>
              </w:rPr>
              <w:t>4.6%</w:t>
            </w:r>
          </w:p>
        </w:tc>
      </w:tr>
      <w:tr>
        <w:trPr>
          <w:cantSplit/>
        </w:trPr>
        <w:tc>
          <w:tcPr>
            <w:tcW w:type="dxa" w:w="2592"/>
            <w:tcMar>
              <w:top w:w="55" w:type="dxa"/>
              <w:start w:w="70" w:type="dxa"/>
              <w:bottom w:w="55" w:type="dxa"/>
              <w:end w:w="70" w:type="dxa"/>
            </w:tcMar>
            <w:vAlign w:val="top"/>
          </w:tcPr>
          <w:p>
            <w:pPr>
              <w:spacing w:after="10" w:line="240" w:lineRule="auto"/>
            </w:pPr>
            <w:r>
              <w:rPr>
                <w:rFonts w:ascii="Arial" w:hAnsi="Arial"/>
                <w:b/>
                <w:sz w:val="14"/>
              </w:rPr>
              <w:t>CNS</w:t>
            </w:r>
          </w:p>
        </w:tc>
        <w:tc>
          <w:tcPr>
            <w:tcW w:type="dxa" w:w="2088"/>
            <w:tcMar>
              <w:top w:w="55" w:type="dxa"/>
              <w:start w:w="70" w:type="dxa"/>
              <w:bottom w:w="55" w:type="dxa"/>
              <w:end w:w="70" w:type="dxa"/>
            </w:tcMar>
            <w:vAlign w:val="top"/>
          </w:tcPr>
          <w:p>
            <w:pPr>
              <w:spacing w:after="10" w:line="240" w:lineRule="auto"/>
            </w:pPr>
            <w:r>
              <w:rPr>
                <w:rFonts w:ascii="Arial" w:hAnsi="Arial"/>
                <w:sz w:val="14"/>
              </w:rPr>
              <w:t>55</w:t>
            </w:r>
          </w:p>
        </w:tc>
        <w:tc>
          <w:tcPr>
            <w:tcW w:type="dxa" w:w="2088"/>
            <w:tcMar>
              <w:top w:w="55" w:type="dxa"/>
              <w:start w:w="70" w:type="dxa"/>
              <w:bottom w:w="55" w:type="dxa"/>
              <w:end w:w="70" w:type="dxa"/>
            </w:tcMar>
            <w:vAlign w:val="top"/>
          </w:tcPr>
          <w:p>
            <w:pPr>
              <w:spacing w:after="10" w:line="240" w:lineRule="auto"/>
            </w:pPr>
            <w:r>
              <w:rPr>
                <w:rFonts w:ascii="Arial" w:hAnsi="Arial"/>
                <w:sz w:val="14"/>
              </w:rPr>
              <w:t>60</w:t>
            </w:r>
          </w:p>
        </w:tc>
        <w:tc>
          <w:tcPr>
            <w:tcW w:type="dxa" w:w="2088"/>
            <w:tcMar>
              <w:top w:w="55" w:type="dxa"/>
              <w:start w:w="70" w:type="dxa"/>
              <w:bottom w:w="55" w:type="dxa"/>
              <w:end w:w="70" w:type="dxa"/>
            </w:tcMar>
            <w:vAlign w:val="top"/>
          </w:tcPr>
          <w:p>
            <w:pPr>
              <w:spacing w:after="10" w:line="240" w:lineRule="auto"/>
            </w:pPr>
            <w:r>
              <w:rPr>
                <w:rFonts w:ascii="Arial" w:hAnsi="Arial"/>
                <w:sz w:val="14"/>
              </w:rPr>
              <w:t>65</w:t>
            </w:r>
          </w:p>
        </w:tc>
        <w:tc>
          <w:tcPr>
            <w:tcW w:type="dxa" w:w="1440"/>
            <w:tcMar>
              <w:top w:w="55" w:type="dxa"/>
              <w:start w:w="70" w:type="dxa"/>
              <w:bottom w:w="55" w:type="dxa"/>
              <w:end w:w="70" w:type="dxa"/>
            </w:tcMar>
            <w:vAlign w:val="top"/>
          </w:tcPr>
          <w:p>
            <w:pPr>
              <w:spacing w:after="10" w:line="240" w:lineRule="auto"/>
            </w:pPr>
            <w:r>
              <w:rPr>
                <w:rFonts w:ascii="Arial" w:hAnsi="Arial"/>
                <w:sz w:val="14"/>
              </w:rPr>
              <w:t>2.7%</w:t>
            </w:r>
          </w:p>
        </w:tc>
      </w:tr>
      <w:tr>
        <w:trPr>
          <w:cantSplit/>
        </w:trPr>
        <w:tc>
          <w:tcPr>
            <w:tcW w:type="dxa" w:w="2592"/>
            <w:shd w:fill="F7F7F7"/>
            <w:tcMar>
              <w:top w:w="55" w:type="dxa"/>
              <w:start w:w="70" w:type="dxa"/>
              <w:bottom w:w="55" w:type="dxa"/>
              <w:end w:w="70" w:type="dxa"/>
            </w:tcMar>
            <w:vAlign w:val="top"/>
          </w:tcPr>
          <w:p>
            <w:pPr>
              <w:spacing w:after="10" w:line="240" w:lineRule="auto"/>
            </w:pPr>
            <w:r>
              <w:rPr>
                <w:rFonts w:ascii="Arial" w:hAnsi="Arial"/>
                <w:b/>
                <w:sz w:val="14"/>
              </w:rPr>
              <w:t>Other products</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361</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218</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4"/>
              </w:rPr>
              <w:t>210</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4"/>
              </w:rPr>
              <w:t>8.8%</w:t>
            </w:r>
          </w:p>
        </w:tc>
      </w:tr>
      <w:tr>
        <w:trPr>
          <w:cantSplit/>
        </w:trPr>
        <w:tc>
          <w:tcPr>
            <w:tcW w:type="dxa" w:w="2592"/>
            <w:tcMar>
              <w:top w:w="55" w:type="dxa"/>
              <w:start w:w="70" w:type="dxa"/>
              <w:bottom w:w="55" w:type="dxa"/>
              <w:end w:w="70" w:type="dxa"/>
            </w:tcMar>
            <w:vAlign w:val="top"/>
          </w:tcPr>
          <w:p>
            <w:pPr>
              <w:spacing w:after="10" w:line="240" w:lineRule="auto"/>
            </w:pPr>
            <w:r>
              <w:rPr>
                <w:rFonts w:ascii="Arial" w:hAnsi="Arial"/>
                <w:b/>
                <w:sz w:val="14"/>
              </w:rPr>
              <w:t>Total product sales</w:t>
            </w:r>
          </w:p>
        </w:tc>
        <w:tc>
          <w:tcPr>
            <w:tcW w:type="dxa" w:w="2088"/>
            <w:tcMar>
              <w:top w:w="55" w:type="dxa"/>
              <w:start w:w="70" w:type="dxa"/>
              <w:bottom w:w="55" w:type="dxa"/>
              <w:end w:w="70" w:type="dxa"/>
            </w:tcMar>
            <w:vAlign w:val="top"/>
          </w:tcPr>
          <w:p>
            <w:pPr>
              <w:spacing w:after="10" w:line="240" w:lineRule="auto"/>
            </w:pPr>
            <w:r>
              <w:rPr>
                <w:rFonts w:ascii="Arial" w:hAnsi="Arial"/>
                <w:sz w:val="14"/>
              </w:rPr>
              <w:t>2,081</w:t>
            </w:r>
          </w:p>
        </w:tc>
        <w:tc>
          <w:tcPr>
            <w:tcW w:type="dxa" w:w="2088"/>
            <w:tcMar>
              <w:top w:w="55" w:type="dxa"/>
              <w:start w:w="70" w:type="dxa"/>
              <w:bottom w:w="55" w:type="dxa"/>
              <w:end w:w="70" w:type="dxa"/>
            </w:tcMar>
            <w:vAlign w:val="top"/>
          </w:tcPr>
          <w:p>
            <w:pPr>
              <w:spacing w:after="10" w:line="240" w:lineRule="auto"/>
            </w:pPr>
            <w:r>
              <w:rPr>
                <w:rFonts w:ascii="Arial" w:hAnsi="Arial"/>
                <w:sz w:val="14"/>
              </w:rPr>
              <w:t>2,128</w:t>
            </w:r>
          </w:p>
        </w:tc>
        <w:tc>
          <w:tcPr>
            <w:tcW w:type="dxa" w:w="2088"/>
            <w:tcMar>
              <w:top w:w="55" w:type="dxa"/>
              <w:start w:w="70" w:type="dxa"/>
              <w:bottom w:w="55" w:type="dxa"/>
              <w:end w:w="70" w:type="dxa"/>
            </w:tcMar>
            <w:vAlign w:val="top"/>
          </w:tcPr>
          <w:p>
            <w:pPr>
              <w:spacing w:after="10" w:line="240" w:lineRule="auto"/>
            </w:pPr>
            <w:r>
              <w:rPr>
                <w:rFonts w:ascii="Arial" w:hAnsi="Arial"/>
                <w:sz w:val="14"/>
              </w:rPr>
              <w:t>2,377</w:t>
            </w:r>
          </w:p>
        </w:tc>
        <w:tc>
          <w:tcPr>
            <w:tcW w:type="dxa" w:w="1440"/>
            <w:tcMar>
              <w:top w:w="55" w:type="dxa"/>
              <w:start w:w="70" w:type="dxa"/>
              <w:bottom w:w="55" w:type="dxa"/>
              <w:end w:w="70" w:type="dxa"/>
            </w:tcMar>
            <w:vAlign w:val="top"/>
          </w:tcPr>
          <w:p>
            <w:pPr>
              <w:spacing w:after="10" w:line="240" w:lineRule="auto"/>
            </w:pPr>
            <w:r>
              <w:rPr>
                <w:rFonts w:ascii="Arial" w:hAnsi="Arial"/>
                <w:sz w:val="14"/>
              </w:rPr>
              <w:t>100.0%</w:t>
            </w:r>
          </w:p>
        </w:tc>
      </w:tr>
    </w:tbl>
    <w:p>
      <w:pPr>
        <w:pStyle w:val="ExhibitTitle"/>
      </w:pPr>
      <w:r>
        <w:t>Exhibit 3. Three growth engines plausibly delivered most of FY26 product-sales growth</w:t>
      </w:r>
    </w:p>
    <w:p>
      <w:r>
        <w:rPr>
          <w:color w:val="59636E"/>
          <w:sz w:val="15"/>
        </w:rPr>
        <w:t>The estimate allocates audited product sales to franchises using company-disclosed brand growth, launches and portfolio ranking. Individual brand sales are not disclosed and estimates have low-to-medium confidence.</w:t>
      </w:r>
    </w:p>
    <w:p>
      <w:pPr>
        <w:pStyle w:val="Source"/>
      </w:pPr>
      <w:r>
        <w:t>Source: Audited product-sales totals [S1, S23, S24]. Allocation: Bernstein estimates. FY24-FY26 “A / BE allocation” means audited total with estimated mix.</w:t>
      </w:r>
    </w:p>
    <w:p>
      <w:pPr>
        <w:pStyle w:val="Heading2"/>
      </w:pPr>
      <w:r>
        <w:t>How to discuss the major products</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584"/>
            <w:shd w:fill="9B1C31"/>
            <w:tcMar>
              <w:top w:w="55" w:type="dxa"/>
              <w:start w:w="70" w:type="dxa"/>
              <w:bottom w:w="55" w:type="dxa"/>
              <w:end w:w="70" w:type="dxa"/>
            </w:tcMar>
            <w:vAlign w:val="center"/>
          </w:tcPr>
          <w:p>
            <w:pPr>
              <w:spacing w:line="240" w:lineRule="auto" w:after="10"/>
              <w:jc w:val="left"/>
            </w:pPr>
            <w:r>
              <w:rPr>
                <w:rFonts w:ascii="Arial" w:hAnsi="Arial"/>
                <w:b/>
                <w:color w:val="FFFFFF"/>
                <w:sz w:val="12"/>
              </w:rPr>
              <w:t>Franchise</w:t>
            </w:r>
          </w:p>
        </w:tc>
        <w:tc>
          <w:tcPr>
            <w:tcW w:type="dxa" w:w="1944"/>
            <w:shd w:fill="9B1C31"/>
            <w:tcMar>
              <w:top w:w="55" w:type="dxa"/>
              <w:start w:w="70" w:type="dxa"/>
              <w:bottom w:w="55" w:type="dxa"/>
              <w:end w:w="70" w:type="dxa"/>
            </w:tcMar>
            <w:vAlign w:val="center"/>
          </w:tcPr>
          <w:p>
            <w:pPr>
              <w:spacing w:line="240" w:lineRule="auto" w:after="10"/>
              <w:jc w:val="left"/>
            </w:pPr>
            <w:r>
              <w:rPr>
                <w:rFonts w:ascii="Arial" w:hAnsi="Arial"/>
                <w:b/>
                <w:color w:val="FFFFFF"/>
                <w:sz w:val="12"/>
              </w:rPr>
              <w:t>Mechanism</w:t>
            </w:r>
          </w:p>
        </w:tc>
        <w:tc>
          <w:tcPr>
            <w:tcW w:type="dxa" w:w="1944"/>
            <w:shd w:fill="9B1C31"/>
            <w:tcMar>
              <w:top w:w="55" w:type="dxa"/>
              <w:start w:w="70" w:type="dxa"/>
              <w:bottom w:w="55" w:type="dxa"/>
              <w:end w:w="70" w:type="dxa"/>
            </w:tcMar>
            <w:vAlign w:val="center"/>
          </w:tcPr>
          <w:p>
            <w:pPr>
              <w:spacing w:line="240" w:lineRule="auto" w:after="10"/>
              <w:jc w:val="left"/>
            </w:pPr>
            <w:r>
              <w:rPr>
                <w:rFonts w:ascii="Arial" w:hAnsi="Arial"/>
                <w:b/>
                <w:color w:val="FFFFFF"/>
                <w:sz w:val="12"/>
              </w:rPr>
              <w:t>Patient / prescriber</w:t>
            </w:r>
          </w:p>
        </w:tc>
        <w:tc>
          <w:tcPr>
            <w:tcW w:type="dxa" w:w="1296"/>
            <w:shd w:fill="9B1C31"/>
            <w:tcMar>
              <w:top w:w="55" w:type="dxa"/>
              <w:start w:w="70" w:type="dxa"/>
              <w:bottom w:w="55" w:type="dxa"/>
              <w:end w:w="70" w:type="dxa"/>
            </w:tcMar>
            <w:vAlign w:val="center"/>
          </w:tcPr>
          <w:p>
            <w:pPr>
              <w:spacing w:line="240" w:lineRule="auto" w:after="10"/>
              <w:jc w:val="left"/>
            </w:pPr>
            <w:r>
              <w:rPr>
                <w:rFonts w:ascii="Arial" w:hAnsi="Arial"/>
                <w:b/>
                <w:color w:val="FFFFFF"/>
                <w:sz w:val="12"/>
              </w:rPr>
              <w:t>Duration</w:t>
            </w:r>
          </w:p>
        </w:tc>
        <w:tc>
          <w:tcPr>
            <w:tcW w:type="dxa" w:w="2016"/>
            <w:shd w:fill="9B1C31"/>
            <w:tcMar>
              <w:top w:w="55" w:type="dxa"/>
              <w:start w:w="70" w:type="dxa"/>
              <w:bottom w:w="55" w:type="dxa"/>
              <w:end w:w="70" w:type="dxa"/>
            </w:tcMar>
            <w:vAlign w:val="center"/>
          </w:tcPr>
          <w:p>
            <w:pPr>
              <w:spacing w:line="240" w:lineRule="auto" w:after="10"/>
              <w:jc w:val="left"/>
            </w:pPr>
            <w:r>
              <w:rPr>
                <w:rFonts w:ascii="Arial" w:hAnsi="Arial"/>
                <w:b/>
                <w:color w:val="FFFFFF"/>
                <w:sz w:val="12"/>
              </w:rPr>
              <w:t>Alternatives</w:t>
            </w:r>
          </w:p>
        </w:tc>
        <w:tc>
          <w:tcPr>
            <w:tcW w:type="dxa" w:w="1728"/>
            <w:shd w:fill="9B1C31"/>
            <w:tcMar>
              <w:top w:w="55" w:type="dxa"/>
              <w:start w:w="70" w:type="dxa"/>
              <w:bottom w:w="55" w:type="dxa"/>
              <w:end w:w="70" w:type="dxa"/>
            </w:tcMar>
            <w:vAlign w:val="center"/>
          </w:tcPr>
          <w:p>
            <w:pPr>
              <w:spacing w:line="240" w:lineRule="auto" w:after="10"/>
              <w:jc w:val="left"/>
            </w:pPr>
            <w:r>
              <w:rPr>
                <w:rFonts w:ascii="Arial" w:hAnsi="Arial"/>
                <w:b/>
                <w:color w:val="FFFFFF"/>
                <w:sz w:val="12"/>
              </w:rPr>
              <w:t>Growth drivers</w:t>
            </w:r>
          </w:p>
        </w:tc>
        <w:tc>
          <w:tcPr>
            <w:tcW w:type="dxa" w:w="1800"/>
            <w:shd w:fill="9B1C31"/>
            <w:tcMar>
              <w:top w:w="55" w:type="dxa"/>
              <w:start w:w="70" w:type="dxa"/>
              <w:bottom w:w="55" w:type="dxa"/>
              <w:end w:w="70" w:type="dxa"/>
            </w:tcMar>
            <w:vAlign w:val="center"/>
          </w:tcPr>
          <w:p>
            <w:pPr>
              <w:spacing w:line="240" w:lineRule="auto" w:after="10"/>
              <w:jc w:val="left"/>
            </w:pPr>
            <w:r>
              <w:rPr>
                <w:rFonts w:ascii="Arial" w:hAnsi="Arial"/>
                <w:b/>
                <w:color w:val="FFFFFF"/>
                <w:sz w:val="12"/>
              </w:rPr>
              <w:t>Key risks</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2"/>
              </w:rPr>
              <w:t>Prevenar</w:t>
            </w:r>
          </w:p>
        </w:tc>
        <w:tc>
          <w:tcPr>
            <w:tcW w:type="dxa" w:w="1944"/>
            <w:tcMar>
              <w:top w:w="55" w:type="dxa"/>
              <w:start w:w="70" w:type="dxa"/>
              <w:bottom w:w="55" w:type="dxa"/>
              <w:end w:w="70" w:type="dxa"/>
            </w:tcMar>
            <w:vAlign w:val="top"/>
          </w:tcPr>
          <w:p>
            <w:pPr>
              <w:spacing w:after="10" w:line="240" w:lineRule="auto"/>
            </w:pPr>
            <w:r>
              <w:rPr>
                <w:rFonts w:ascii="Arial" w:hAnsi="Arial"/>
                <w:sz w:val="12"/>
              </w:rPr>
              <w:t>Conjugate vaccine induces serotype-specific immunity against pneumococcus</w:t>
            </w:r>
          </w:p>
        </w:tc>
        <w:tc>
          <w:tcPr>
            <w:tcW w:type="dxa" w:w="1944"/>
            <w:tcMar>
              <w:top w:w="55" w:type="dxa"/>
              <w:start w:w="70" w:type="dxa"/>
              <w:bottom w:w="55" w:type="dxa"/>
              <w:end w:w="70" w:type="dxa"/>
            </w:tcMar>
            <w:vAlign w:val="top"/>
          </w:tcPr>
          <w:p>
            <w:pPr>
              <w:spacing w:after="10" w:line="240" w:lineRule="auto"/>
            </w:pPr>
            <w:r>
              <w:rPr>
                <w:rFonts w:ascii="Arial" w:hAnsi="Arial"/>
                <w:sz w:val="12"/>
              </w:rPr>
              <w:t>Infants, older adults, high-risk adults; paediatricians, pulmonologists, physicians</w:t>
            </w:r>
          </w:p>
        </w:tc>
        <w:tc>
          <w:tcPr>
            <w:tcW w:type="dxa" w:w="1296"/>
            <w:tcMar>
              <w:top w:w="55" w:type="dxa"/>
              <w:start w:w="70" w:type="dxa"/>
              <w:bottom w:w="55" w:type="dxa"/>
              <w:end w:w="70" w:type="dxa"/>
            </w:tcMar>
            <w:vAlign w:val="top"/>
          </w:tcPr>
          <w:p>
            <w:pPr>
              <w:spacing w:after="10" w:line="240" w:lineRule="auto"/>
            </w:pPr>
            <w:r>
              <w:rPr>
                <w:rFonts w:ascii="Arial" w:hAnsi="Arial"/>
                <w:sz w:val="12"/>
              </w:rPr>
              <w:t>One or scheduled doses; private-pay</w:t>
            </w:r>
          </w:p>
        </w:tc>
        <w:tc>
          <w:tcPr>
            <w:tcW w:type="dxa" w:w="2016"/>
            <w:tcMar>
              <w:top w:w="55" w:type="dxa"/>
              <w:start w:w="70" w:type="dxa"/>
              <w:bottom w:w="55" w:type="dxa"/>
              <w:end w:w="70" w:type="dxa"/>
            </w:tcMar>
            <w:vAlign w:val="top"/>
          </w:tcPr>
          <w:p>
            <w:pPr>
              <w:spacing w:after="10" w:line="240" w:lineRule="auto"/>
            </w:pPr>
            <w:r>
              <w:rPr>
                <w:rFonts w:ascii="Arial" w:hAnsi="Arial"/>
                <w:sz w:val="12"/>
              </w:rPr>
              <w:t>Other PCVs and public-program vaccines</w:t>
            </w:r>
          </w:p>
        </w:tc>
        <w:tc>
          <w:tcPr>
            <w:tcW w:type="dxa" w:w="1728"/>
            <w:tcMar>
              <w:top w:w="55" w:type="dxa"/>
              <w:start w:w="70" w:type="dxa"/>
              <w:bottom w:w="55" w:type="dxa"/>
              <w:end w:w="70" w:type="dxa"/>
            </w:tcMar>
            <w:vAlign w:val="top"/>
          </w:tcPr>
          <w:p>
            <w:pPr>
              <w:spacing w:after="10" w:line="240" w:lineRule="auto"/>
            </w:pPr>
            <w:r>
              <w:rPr>
                <w:rFonts w:ascii="Arial" w:hAnsi="Arial"/>
                <w:sz w:val="12"/>
              </w:rPr>
              <w:t>Adult awareness, PCV20 simplification</w:t>
            </w:r>
          </w:p>
        </w:tc>
        <w:tc>
          <w:tcPr>
            <w:tcW w:type="dxa" w:w="1800"/>
            <w:tcMar>
              <w:top w:w="55" w:type="dxa"/>
              <w:start w:w="70" w:type="dxa"/>
              <w:bottom w:w="55" w:type="dxa"/>
              <w:end w:w="70" w:type="dxa"/>
            </w:tcMar>
            <w:vAlign w:val="top"/>
          </w:tcPr>
          <w:p>
            <w:pPr>
              <w:spacing w:after="10" w:line="240" w:lineRule="auto"/>
            </w:pPr>
            <w:r>
              <w:rPr>
                <w:rFonts w:ascii="Arial" w:hAnsi="Arial"/>
                <w:sz w:val="12"/>
              </w:rPr>
              <w:t>Affordability, competing serotype coverage, import supply</w:t>
            </w:r>
          </w:p>
        </w:tc>
      </w:tr>
      <w:tr>
        <w:trPr>
          <w:cantSplit/>
        </w:trPr>
        <w:tc>
          <w:tcPr>
            <w:tcW w:type="dxa" w:w="1584"/>
            <w:shd w:fill="F7F7F7"/>
            <w:tcMar>
              <w:top w:w="55" w:type="dxa"/>
              <w:start w:w="70" w:type="dxa"/>
              <w:bottom w:w="55" w:type="dxa"/>
              <w:end w:w="70" w:type="dxa"/>
            </w:tcMar>
            <w:vAlign w:val="top"/>
          </w:tcPr>
          <w:p>
            <w:pPr>
              <w:spacing w:after="10" w:line="240" w:lineRule="auto"/>
            </w:pPr>
            <w:r>
              <w:rPr>
                <w:rFonts w:ascii="Arial" w:hAnsi="Arial"/>
                <w:b/>
                <w:sz w:val="12"/>
              </w:rPr>
              <w:t>Eliquis</w:t>
            </w:r>
          </w:p>
        </w:tc>
        <w:tc>
          <w:tcPr>
            <w:tcW w:type="dxa" w:w="1944"/>
            <w:shd w:fill="F7F7F7"/>
            <w:tcMar>
              <w:top w:w="55" w:type="dxa"/>
              <w:start w:w="70" w:type="dxa"/>
              <w:bottom w:w="55" w:type="dxa"/>
              <w:end w:w="70" w:type="dxa"/>
            </w:tcMar>
            <w:vAlign w:val="top"/>
          </w:tcPr>
          <w:p>
            <w:pPr>
              <w:spacing w:after="10" w:line="240" w:lineRule="auto"/>
            </w:pPr>
            <w:r>
              <w:rPr>
                <w:rFonts w:ascii="Arial" w:hAnsi="Arial"/>
                <w:sz w:val="12"/>
              </w:rPr>
              <w:t>Direct Factor Xa inhibition reduces thrombin generation</w:t>
            </w:r>
          </w:p>
        </w:tc>
        <w:tc>
          <w:tcPr>
            <w:tcW w:type="dxa" w:w="1944"/>
            <w:shd w:fill="F7F7F7"/>
            <w:tcMar>
              <w:top w:w="55" w:type="dxa"/>
              <w:start w:w="70" w:type="dxa"/>
              <w:bottom w:w="55" w:type="dxa"/>
              <w:end w:w="70" w:type="dxa"/>
            </w:tcMar>
            <w:vAlign w:val="top"/>
          </w:tcPr>
          <w:p>
            <w:pPr>
              <w:spacing w:after="10" w:line="240" w:lineRule="auto"/>
            </w:pPr>
            <w:r>
              <w:rPr>
                <w:rFonts w:ascii="Arial" w:hAnsi="Arial"/>
                <w:sz w:val="12"/>
              </w:rPr>
              <w:t>AF and VTE patients; cardiology, neurology, medicine, orthopaedics</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2"/>
              </w:rPr>
              <w:t>Chronic for AF; finite/extended for VTE</w:t>
            </w:r>
          </w:p>
        </w:tc>
        <w:tc>
          <w:tcPr>
            <w:tcW w:type="dxa" w:w="2016"/>
            <w:shd w:fill="F7F7F7"/>
            <w:tcMar>
              <w:top w:w="55" w:type="dxa"/>
              <w:start w:w="70" w:type="dxa"/>
              <w:bottom w:w="55" w:type="dxa"/>
              <w:end w:w="70" w:type="dxa"/>
            </w:tcMar>
            <w:vAlign w:val="top"/>
          </w:tcPr>
          <w:p>
            <w:pPr>
              <w:spacing w:after="10" w:line="240" w:lineRule="auto"/>
            </w:pPr>
            <w:r>
              <w:rPr>
                <w:rFonts w:ascii="Arial" w:hAnsi="Arial"/>
                <w:sz w:val="12"/>
              </w:rPr>
              <w:t>Rivaroxaban, dabigatran, edoxaban, warfarin, apixaban generics</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2"/>
              </w:rPr>
              <w:t>Clinical evidence, dosing, broader HCP reach</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2"/>
              </w:rPr>
              <w:t>100+ generics, price compression, molecule commoditisation</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2"/>
              </w:rPr>
              <w:t>Becosules</w:t>
            </w:r>
          </w:p>
        </w:tc>
        <w:tc>
          <w:tcPr>
            <w:tcW w:type="dxa" w:w="1944"/>
            <w:tcMar>
              <w:top w:w="55" w:type="dxa"/>
              <w:start w:w="70" w:type="dxa"/>
              <w:bottom w:w="55" w:type="dxa"/>
              <w:end w:w="70" w:type="dxa"/>
            </w:tcMar>
            <w:vAlign w:val="top"/>
          </w:tcPr>
          <w:p>
            <w:pPr>
              <w:spacing w:after="10" w:line="240" w:lineRule="auto"/>
            </w:pPr>
            <w:r>
              <w:rPr>
                <w:rFonts w:ascii="Arial" w:hAnsi="Arial"/>
                <w:sz w:val="12"/>
              </w:rPr>
              <w:t>Water-soluble B vitamins support deficiency correction</w:t>
            </w:r>
          </w:p>
        </w:tc>
        <w:tc>
          <w:tcPr>
            <w:tcW w:type="dxa" w:w="1944"/>
            <w:tcMar>
              <w:top w:w="55" w:type="dxa"/>
              <w:start w:w="70" w:type="dxa"/>
              <w:bottom w:w="55" w:type="dxa"/>
              <w:end w:w="70" w:type="dxa"/>
            </w:tcMar>
            <w:vAlign w:val="top"/>
          </w:tcPr>
          <w:p>
            <w:pPr>
              <w:spacing w:after="10" w:line="240" w:lineRule="auto"/>
            </w:pPr>
            <w:r>
              <w:rPr>
                <w:rFonts w:ascii="Arial" w:hAnsi="Arial"/>
                <w:sz w:val="12"/>
              </w:rPr>
              <w:t>Broad primary care and self-pay use</w:t>
            </w:r>
          </w:p>
        </w:tc>
        <w:tc>
          <w:tcPr>
            <w:tcW w:type="dxa" w:w="1296"/>
            <w:tcMar>
              <w:top w:w="55" w:type="dxa"/>
              <w:start w:w="70" w:type="dxa"/>
              <w:bottom w:w="55" w:type="dxa"/>
              <w:end w:w="70" w:type="dxa"/>
            </w:tcMar>
            <w:vAlign w:val="top"/>
          </w:tcPr>
          <w:p>
            <w:pPr>
              <w:spacing w:after="10" w:line="240" w:lineRule="auto"/>
            </w:pPr>
            <w:r>
              <w:rPr>
                <w:rFonts w:ascii="Arial" w:hAnsi="Arial"/>
                <w:sz w:val="12"/>
              </w:rPr>
              <w:t>Acute or intermittent</w:t>
            </w:r>
          </w:p>
        </w:tc>
        <w:tc>
          <w:tcPr>
            <w:tcW w:type="dxa" w:w="2016"/>
            <w:tcMar>
              <w:top w:w="55" w:type="dxa"/>
              <w:start w:w="70" w:type="dxa"/>
              <w:bottom w:w="55" w:type="dxa"/>
              <w:end w:w="70" w:type="dxa"/>
            </w:tcMar>
            <w:vAlign w:val="top"/>
          </w:tcPr>
          <w:p>
            <w:pPr>
              <w:spacing w:after="10" w:line="240" w:lineRule="auto"/>
            </w:pPr>
            <w:r>
              <w:rPr>
                <w:rFonts w:ascii="Arial" w:hAnsi="Arial"/>
                <w:sz w:val="12"/>
              </w:rPr>
              <w:t>Multiple branded vitamins and OTC supplements</w:t>
            </w:r>
          </w:p>
        </w:tc>
        <w:tc>
          <w:tcPr>
            <w:tcW w:type="dxa" w:w="1728"/>
            <w:tcMar>
              <w:top w:w="55" w:type="dxa"/>
              <w:start w:w="70" w:type="dxa"/>
              <w:bottom w:w="55" w:type="dxa"/>
              <w:end w:w="70" w:type="dxa"/>
            </w:tcMar>
            <w:vAlign w:val="top"/>
          </w:tcPr>
          <w:p>
            <w:pPr>
              <w:spacing w:after="10" w:line="240" w:lineRule="auto"/>
            </w:pPr>
            <w:r>
              <w:rPr>
                <w:rFonts w:ascii="Arial" w:hAnsi="Arial"/>
                <w:sz w:val="12"/>
              </w:rPr>
              <w:t>Distribution, packaging, consumer recognition</w:t>
            </w:r>
          </w:p>
        </w:tc>
        <w:tc>
          <w:tcPr>
            <w:tcW w:type="dxa" w:w="1800"/>
            <w:tcMar>
              <w:top w:w="55" w:type="dxa"/>
              <w:start w:w="70" w:type="dxa"/>
              <w:bottom w:w="55" w:type="dxa"/>
              <w:end w:w="70" w:type="dxa"/>
            </w:tcMar>
            <w:vAlign w:val="top"/>
          </w:tcPr>
          <w:p>
            <w:pPr>
              <w:spacing w:after="10" w:line="240" w:lineRule="auto"/>
            </w:pPr>
            <w:r>
              <w:rPr>
                <w:rFonts w:ascii="Arial" w:hAnsi="Arial"/>
                <w:sz w:val="12"/>
              </w:rPr>
              <w:t>Weak differentiation and trade intensity</w:t>
            </w:r>
          </w:p>
        </w:tc>
      </w:tr>
      <w:tr>
        <w:trPr>
          <w:cantSplit/>
        </w:trPr>
        <w:tc>
          <w:tcPr>
            <w:tcW w:type="dxa" w:w="1584"/>
            <w:shd w:fill="F7F7F7"/>
            <w:tcMar>
              <w:top w:w="55" w:type="dxa"/>
              <w:start w:w="70" w:type="dxa"/>
              <w:bottom w:w="55" w:type="dxa"/>
              <w:end w:w="70" w:type="dxa"/>
            </w:tcMar>
            <w:vAlign w:val="top"/>
          </w:tcPr>
          <w:p>
            <w:pPr>
              <w:spacing w:after="10" w:line="240" w:lineRule="auto"/>
            </w:pPr>
            <w:r>
              <w:rPr>
                <w:rFonts w:ascii="Arial" w:hAnsi="Arial"/>
                <w:b/>
                <w:sz w:val="12"/>
              </w:rPr>
              <w:t>Corex Dx/LS</w:t>
            </w:r>
          </w:p>
        </w:tc>
        <w:tc>
          <w:tcPr>
            <w:tcW w:type="dxa" w:w="1944"/>
            <w:shd w:fill="F7F7F7"/>
            <w:tcMar>
              <w:top w:w="55" w:type="dxa"/>
              <w:start w:w="70" w:type="dxa"/>
              <w:bottom w:w="55" w:type="dxa"/>
              <w:end w:w="70" w:type="dxa"/>
            </w:tcMar>
            <w:vAlign w:val="top"/>
          </w:tcPr>
          <w:p>
            <w:pPr>
              <w:spacing w:after="10" w:line="240" w:lineRule="auto"/>
            </w:pPr>
            <w:r>
              <w:rPr>
                <w:rFonts w:ascii="Arial" w:hAnsi="Arial"/>
                <w:sz w:val="12"/>
              </w:rPr>
              <w:t>Antitussive/expectorant combinations</w:t>
            </w:r>
          </w:p>
        </w:tc>
        <w:tc>
          <w:tcPr>
            <w:tcW w:type="dxa" w:w="1944"/>
            <w:shd w:fill="F7F7F7"/>
            <w:tcMar>
              <w:top w:w="55" w:type="dxa"/>
              <w:start w:w="70" w:type="dxa"/>
              <w:bottom w:w="55" w:type="dxa"/>
              <w:end w:w="70" w:type="dxa"/>
            </w:tcMar>
            <w:vAlign w:val="top"/>
          </w:tcPr>
          <w:p>
            <w:pPr>
              <w:spacing w:after="10" w:line="240" w:lineRule="auto"/>
            </w:pPr>
            <w:r>
              <w:rPr>
                <w:rFonts w:ascii="Arial" w:hAnsi="Arial"/>
                <w:sz w:val="12"/>
              </w:rPr>
              <w:t>Dry/productive cough; GPs, chest physicians</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2"/>
              </w:rPr>
              <w:t>Short acute course</w:t>
            </w:r>
          </w:p>
        </w:tc>
        <w:tc>
          <w:tcPr>
            <w:tcW w:type="dxa" w:w="2016"/>
            <w:shd w:fill="F7F7F7"/>
            <w:tcMar>
              <w:top w:w="55" w:type="dxa"/>
              <w:start w:w="70" w:type="dxa"/>
              <w:bottom w:w="55" w:type="dxa"/>
              <w:end w:w="70" w:type="dxa"/>
            </w:tcMar>
            <w:vAlign w:val="top"/>
          </w:tcPr>
          <w:p>
            <w:pPr>
              <w:spacing w:after="10" w:line="240" w:lineRule="auto"/>
            </w:pPr>
            <w:r>
              <w:rPr>
                <w:rFonts w:ascii="Arial" w:hAnsi="Arial"/>
                <w:sz w:val="12"/>
              </w:rPr>
              <w:t>Numerous cough combinations</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2"/>
              </w:rPr>
              <w:t>Cipla reach and availability</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2"/>
              </w:rPr>
              <w:t>FDC regulation, seasonality, rational-use scrutiny</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2"/>
              </w:rPr>
              <w:t>Magnex/Zavicefta/Emblaveo</w:t>
            </w:r>
          </w:p>
        </w:tc>
        <w:tc>
          <w:tcPr>
            <w:tcW w:type="dxa" w:w="1944"/>
            <w:tcMar>
              <w:top w:w="55" w:type="dxa"/>
              <w:start w:w="70" w:type="dxa"/>
              <w:bottom w:w="55" w:type="dxa"/>
              <w:end w:w="70" w:type="dxa"/>
            </w:tcMar>
            <w:vAlign w:val="top"/>
          </w:tcPr>
          <w:p>
            <w:pPr>
              <w:spacing w:after="10" w:line="240" w:lineRule="auto"/>
            </w:pPr>
            <w:r>
              <w:rPr>
                <w:rFonts w:ascii="Arial" w:hAnsi="Arial"/>
                <w:sz w:val="12"/>
              </w:rPr>
              <w:t>Beta-lactam plus beta-lactamase inhibitor combinations</w:t>
            </w:r>
          </w:p>
        </w:tc>
        <w:tc>
          <w:tcPr>
            <w:tcW w:type="dxa" w:w="1944"/>
            <w:tcMar>
              <w:top w:w="55" w:type="dxa"/>
              <w:start w:w="70" w:type="dxa"/>
              <w:bottom w:w="55" w:type="dxa"/>
              <w:end w:w="70" w:type="dxa"/>
            </w:tcMar>
            <w:vAlign w:val="top"/>
          </w:tcPr>
          <w:p>
            <w:pPr>
              <w:spacing w:after="10" w:line="240" w:lineRule="auto"/>
            </w:pPr>
            <w:r>
              <w:rPr>
                <w:rFonts w:ascii="Arial" w:hAnsi="Arial"/>
                <w:sz w:val="12"/>
              </w:rPr>
              <w:t>Severe hospital-acquired and resistant infections; intensivists/ID/microbiology</w:t>
            </w:r>
          </w:p>
        </w:tc>
        <w:tc>
          <w:tcPr>
            <w:tcW w:type="dxa" w:w="1296"/>
            <w:tcMar>
              <w:top w:w="55" w:type="dxa"/>
              <w:start w:w="70" w:type="dxa"/>
              <w:bottom w:w="55" w:type="dxa"/>
              <w:end w:w="70" w:type="dxa"/>
            </w:tcMar>
            <w:vAlign w:val="top"/>
          </w:tcPr>
          <w:p>
            <w:pPr>
              <w:spacing w:after="10" w:line="240" w:lineRule="auto"/>
            </w:pPr>
            <w:r>
              <w:rPr>
                <w:rFonts w:ascii="Arial" w:hAnsi="Arial"/>
                <w:sz w:val="12"/>
              </w:rPr>
              <w:t>Days to weeks inpatient</w:t>
            </w:r>
          </w:p>
        </w:tc>
        <w:tc>
          <w:tcPr>
            <w:tcW w:type="dxa" w:w="2016"/>
            <w:tcMar>
              <w:top w:w="55" w:type="dxa"/>
              <w:start w:w="70" w:type="dxa"/>
              <w:bottom w:w="55" w:type="dxa"/>
              <w:end w:w="70" w:type="dxa"/>
            </w:tcMar>
            <w:vAlign w:val="top"/>
          </w:tcPr>
          <w:p>
            <w:pPr>
              <w:spacing w:after="10" w:line="240" w:lineRule="auto"/>
            </w:pPr>
            <w:r>
              <w:rPr>
                <w:rFonts w:ascii="Arial" w:hAnsi="Arial"/>
                <w:sz w:val="12"/>
              </w:rPr>
              <w:t>Carbapenems, ceftazidime-avibactam competitors, polymyxins, newer agents</w:t>
            </w:r>
          </w:p>
        </w:tc>
        <w:tc>
          <w:tcPr>
            <w:tcW w:type="dxa" w:w="1728"/>
            <w:tcMar>
              <w:top w:w="55" w:type="dxa"/>
              <w:start w:w="70" w:type="dxa"/>
              <w:bottom w:w="55" w:type="dxa"/>
              <w:end w:w="70" w:type="dxa"/>
            </w:tcMar>
            <w:vAlign w:val="top"/>
          </w:tcPr>
          <w:p>
            <w:pPr>
              <w:spacing w:after="10" w:line="240" w:lineRule="auto"/>
            </w:pPr>
            <w:r>
              <w:rPr>
                <w:rFonts w:ascii="Arial" w:hAnsi="Arial"/>
                <w:sz w:val="12"/>
              </w:rPr>
              <w:t>AMR burden, stewardship-led appropriate early use</w:t>
            </w:r>
          </w:p>
        </w:tc>
        <w:tc>
          <w:tcPr>
            <w:tcW w:type="dxa" w:w="1800"/>
            <w:tcMar>
              <w:top w:w="55" w:type="dxa"/>
              <w:start w:w="70" w:type="dxa"/>
              <w:bottom w:w="55" w:type="dxa"/>
              <w:end w:w="70" w:type="dxa"/>
            </w:tcMar>
            <w:vAlign w:val="top"/>
          </w:tcPr>
          <w:p>
            <w:pPr>
              <w:spacing w:after="10" w:line="240" w:lineRule="auto"/>
            </w:pPr>
            <w:r>
              <w:rPr>
                <w:rFonts w:ascii="Arial" w:hAnsi="Arial"/>
                <w:sz w:val="12"/>
              </w:rPr>
              <w:t>Institutional access, resistance evolution, tender price, supply</w:t>
            </w:r>
          </w:p>
        </w:tc>
      </w:tr>
      <w:tr>
        <w:trPr>
          <w:cantSplit/>
        </w:trPr>
        <w:tc>
          <w:tcPr>
            <w:tcW w:type="dxa" w:w="1584"/>
            <w:shd w:fill="F7F7F7"/>
            <w:tcMar>
              <w:top w:w="55" w:type="dxa"/>
              <w:start w:w="70" w:type="dxa"/>
              <w:bottom w:w="55" w:type="dxa"/>
              <w:end w:w="70" w:type="dxa"/>
            </w:tcMar>
            <w:vAlign w:val="top"/>
          </w:tcPr>
          <w:p>
            <w:pPr>
              <w:spacing w:after="10" w:line="240" w:lineRule="auto"/>
            </w:pPr>
            <w:r>
              <w:rPr>
                <w:rFonts w:ascii="Arial" w:hAnsi="Arial"/>
                <w:b/>
                <w:sz w:val="12"/>
              </w:rPr>
              <w:t>Nurtec ODT</w:t>
            </w:r>
          </w:p>
        </w:tc>
        <w:tc>
          <w:tcPr>
            <w:tcW w:type="dxa" w:w="1944"/>
            <w:shd w:fill="F7F7F7"/>
            <w:tcMar>
              <w:top w:w="55" w:type="dxa"/>
              <w:start w:w="70" w:type="dxa"/>
              <w:bottom w:w="55" w:type="dxa"/>
              <w:end w:w="70" w:type="dxa"/>
            </w:tcMar>
            <w:vAlign w:val="top"/>
          </w:tcPr>
          <w:p>
            <w:pPr>
              <w:spacing w:after="10" w:line="240" w:lineRule="auto"/>
            </w:pPr>
            <w:r>
              <w:rPr>
                <w:rFonts w:ascii="Arial" w:hAnsi="Arial"/>
                <w:sz w:val="12"/>
              </w:rPr>
              <w:t>CGRP-receptor antagonist</w:t>
            </w:r>
          </w:p>
        </w:tc>
        <w:tc>
          <w:tcPr>
            <w:tcW w:type="dxa" w:w="1944"/>
            <w:shd w:fill="F7F7F7"/>
            <w:tcMar>
              <w:top w:w="55" w:type="dxa"/>
              <w:start w:w="70" w:type="dxa"/>
              <w:bottom w:w="55" w:type="dxa"/>
              <w:end w:w="70" w:type="dxa"/>
            </w:tcMar>
            <w:vAlign w:val="top"/>
          </w:tcPr>
          <w:p>
            <w:pPr>
              <w:spacing w:after="10" w:line="240" w:lineRule="auto"/>
            </w:pPr>
            <w:r>
              <w:rPr>
                <w:rFonts w:ascii="Arial" w:hAnsi="Arial"/>
                <w:sz w:val="12"/>
              </w:rPr>
              <w:t>Adults with acute migraine, especially insufficient triptan response; neurologists</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2"/>
              </w:rPr>
              <w:t>As-needed acute dosing</w:t>
            </w:r>
          </w:p>
        </w:tc>
        <w:tc>
          <w:tcPr>
            <w:tcW w:type="dxa" w:w="2016"/>
            <w:shd w:fill="F7F7F7"/>
            <w:tcMar>
              <w:top w:w="55" w:type="dxa"/>
              <w:start w:w="70" w:type="dxa"/>
              <w:bottom w:w="55" w:type="dxa"/>
              <w:end w:w="70" w:type="dxa"/>
            </w:tcMar>
            <w:vAlign w:val="top"/>
          </w:tcPr>
          <w:p>
            <w:pPr>
              <w:spacing w:after="10" w:line="240" w:lineRule="auto"/>
            </w:pPr>
            <w:r>
              <w:rPr>
                <w:rFonts w:ascii="Arial" w:hAnsi="Arial"/>
                <w:sz w:val="12"/>
              </w:rPr>
              <w:t>Triptans, NSAIDs, other gepants when available</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2"/>
              </w:rPr>
              <w:t>Large undertreated pool, oral disintegrating format</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2"/>
              </w:rPr>
              <w:t>Premium price, diagnosis and out-of-pocket affordability</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2"/>
              </w:rPr>
              <w:t>Enbrel/Betrecep</w:t>
            </w:r>
          </w:p>
        </w:tc>
        <w:tc>
          <w:tcPr>
            <w:tcW w:type="dxa" w:w="1944"/>
            <w:tcMar>
              <w:top w:w="55" w:type="dxa"/>
              <w:start w:w="70" w:type="dxa"/>
              <w:bottom w:w="55" w:type="dxa"/>
              <w:end w:w="70" w:type="dxa"/>
            </w:tcMar>
            <w:vAlign w:val="top"/>
          </w:tcPr>
          <w:p>
            <w:pPr>
              <w:spacing w:after="10" w:line="240" w:lineRule="auto"/>
            </w:pPr>
            <w:r>
              <w:rPr>
                <w:rFonts w:ascii="Arial" w:hAnsi="Arial"/>
                <w:sz w:val="12"/>
              </w:rPr>
              <w:t>TNF inhibition / JAK inhibition</w:t>
            </w:r>
          </w:p>
        </w:tc>
        <w:tc>
          <w:tcPr>
            <w:tcW w:type="dxa" w:w="1944"/>
            <w:tcMar>
              <w:top w:w="55" w:type="dxa"/>
              <w:start w:w="70" w:type="dxa"/>
              <w:bottom w:w="55" w:type="dxa"/>
              <w:end w:w="70" w:type="dxa"/>
            </w:tcMar>
            <w:vAlign w:val="top"/>
          </w:tcPr>
          <w:p>
            <w:pPr>
              <w:spacing w:after="10" w:line="240" w:lineRule="auto"/>
            </w:pPr>
            <w:r>
              <w:rPr>
                <w:rFonts w:ascii="Arial" w:hAnsi="Arial"/>
                <w:sz w:val="12"/>
              </w:rPr>
              <w:t>RA, PsA, AS and other immune disease; rheumatologists/dermatologists</w:t>
            </w:r>
          </w:p>
        </w:tc>
        <w:tc>
          <w:tcPr>
            <w:tcW w:type="dxa" w:w="1296"/>
            <w:tcMar>
              <w:top w:w="55" w:type="dxa"/>
              <w:start w:w="70" w:type="dxa"/>
              <w:bottom w:w="55" w:type="dxa"/>
              <w:end w:w="70" w:type="dxa"/>
            </w:tcMar>
            <w:vAlign w:val="top"/>
          </w:tcPr>
          <w:p>
            <w:pPr>
              <w:spacing w:after="10" w:line="240" w:lineRule="auto"/>
            </w:pPr>
            <w:r>
              <w:rPr>
                <w:rFonts w:ascii="Arial" w:hAnsi="Arial"/>
                <w:sz w:val="12"/>
              </w:rPr>
              <w:t>Long-duration chronic</w:t>
            </w:r>
          </w:p>
        </w:tc>
        <w:tc>
          <w:tcPr>
            <w:tcW w:type="dxa" w:w="2016"/>
            <w:tcMar>
              <w:top w:w="55" w:type="dxa"/>
              <w:start w:w="70" w:type="dxa"/>
              <w:bottom w:w="55" w:type="dxa"/>
              <w:end w:w="70" w:type="dxa"/>
            </w:tcMar>
            <w:vAlign w:val="top"/>
          </w:tcPr>
          <w:p>
            <w:pPr>
              <w:spacing w:after="10" w:line="240" w:lineRule="auto"/>
            </w:pPr>
            <w:r>
              <w:rPr>
                <w:rFonts w:ascii="Arial" w:hAnsi="Arial"/>
                <w:sz w:val="12"/>
              </w:rPr>
              <w:t>Biosimilar etanercept, adalimumab, JAK inhibitors</w:t>
            </w:r>
          </w:p>
        </w:tc>
        <w:tc>
          <w:tcPr>
            <w:tcW w:type="dxa" w:w="1728"/>
            <w:tcMar>
              <w:top w:w="55" w:type="dxa"/>
              <w:start w:w="70" w:type="dxa"/>
              <w:bottom w:w="55" w:type="dxa"/>
              <w:end w:w="70" w:type="dxa"/>
            </w:tcMar>
            <w:vAlign w:val="top"/>
          </w:tcPr>
          <w:p>
            <w:pPr>
              <w:spacing w:after="10" w:line="240" w:lineRule="auto"/>
            </w:pPr>
            <w:r>
              <w:rPr>
                <w:rFonts w:ascii="Arial" w:hAnsi="Arial"/>
                <w:sz w:val="12"/>
              </w:rPr>
              <w:t>Specialist education and access</w:t>
            </w:r>
          </w:p>
        </w:tc>
        <w:tc>
          <w:tcPr>
            <w:tcW w:type="dxa" w:w="1800"/>
            <w:tcMar>
              <w:top w:w="55" w:type="dxa"/>
              <w:start w:w="70" w:type="dxa"/>
              <w:bottom w:w="55" w:type="dxa"/>
              <w:end w:w="70" w:type="dxa"/>
            </w:tcMar>
            <w:vAlign w:val="top"/>
          </w:tcPr>
          <w:p>
            <w:pPr>
              <w:spacing w:after="10" w:line="240" w:lineRule="auto"/>
            </w:pPr>
            <w:r>
              <w:rPr>
                <w:rFonts w:ascii="Arial" w:hAnsi="Arial"/>
                <w:sz w:val="12"/>
              </w:rPr>
              <w:t>Biologic affordability, safety monitoring, intense generic competition</w:t>
            </w:r>
          </w:p>
        </w:tc>
      </w:tr>
    </w:tbl>
    <w:p>
      <w:pPr>
        <w:pStyle w:val="Source"/>
      </w:pPr>
      <w:r>
        <w:t>Source: Pfizer FY26 Annual Report, pp. 50-57 [S1]; official product prices [S4]; standard pharmacology. India reimbursement is predominantly private-pay for these outpatient products; specific payer mix is not disclosed.</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728"/>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Therapy</w:t>
            </w:r>
          </w:p>
        </w:tc>
        <w:tc>
          <w:tcPr>
            <w:tcW w:type="dxa" w:w="1656"/>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FY26 listed exposure</w:t>
            </w:r>
          </w:p>
        </w:tc>
        <w:tc>
          <w:tcPr>
            <w:tcW w:type="dxa" w:w="3240"/>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Market evidence</w:t>
            </w:r>
          </w:p>
        </w:tc>
        <w:tc>
          <w:tcPr>
            <w:tcW w:type="dxa" w:w="1656"/>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Channel</w:t>
            </w:r>
          </w:p>
        </w:tc>
        <w:tc>
          <w:tcPr>
            <w:tcW w:type="dxa" w:w="1656"/>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Pricing</w:t>
            </w:r>
          </w:p>
        </w:tc>
        <w:tc>
          <w:tcPr>
            <w:tcW w:type="dxa" w:w="1872"/>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Five-year outlook</w:t>
            </w:r>
          </w:p>
        </w:tc>
      </w:tr>
      <w:tr>
        <w:trPr>
          <w:cantSplit/>
        </w:trPr>
        <w:tc>
          <w:tcPr>
            <w:tcW w:type="dxa" w:w="1728"/>
            <w:tcMar>
              <w:top w:w="55" w:type="dxa"/>
              <w:start w:w="70" w:type="dxa"/>
              <w:bottom w:w="55" w:type="dxa"/>
              <w:end w:w="70" w:type="dxa"/>
            </w:tcMar>
            <w:vAlign w:val="top"/>
          </w:tcPr>
          <w:p>
            <w:pPr>
              <w:spacing w:after="10" w:line="240" w:lineRule="auto"/>
            </w:pPr>
            <w:r>
              <w:rPr>
                <w:rFonts w:ascii="Arial" w:hAnsi="Arial"/>
                <w:b/>
                <w:sz w:val="13"/>
              </w:rPr>
              <w:t>Vaccines</w:t>
            </w:r>
          </w:p>
        </w:tc>
        <w:tc>
          <w:tcPr>
            <w:tcW w:type="dxa" w:w="1656"/>
            <w:tcMar>
              <w:top w:w="55" w:type="dxa"/>
              <w:start w:w="70" w:type="dxa"/>
              <w:bottom w:w="55" w:type="dxa"/>
              <w:end w:w="70" w:type="dxa"/>
            </w:tcMar>
            <w:vAlign w:val="top"/>
          </w:tcPr>
          <w:p>
            <w:pPr>
              <w:spacing w:after="10" w:line="240" w:lineRule="auto"/>
            </w:pPr>
            <w:r>
              <w:rPr>
                <w:rFonts w:ascii="Arial" w:hAnsi="Arial"/>
                <w:sz w:val="13"/>
              </w:rPr>
              <w:t>₹410cr BE</w:t>
            </w:r>
          </w:p>
        </w:tc>
        <w:tc>
          <w:tcPr>
            <w:tcW w:type="dxa" w:w="3240"/>
            <w:tcMar>
              <w:top w:w="55" w:type="dxa"/>
              <w:start w:w="70" w:type="dxa"/>
              <w:bottom w:w="55" w:type="dxa"/>
              <w:end w:w="70" w:type="dxa"/>
            </w:tcMar>
            <w:vAlign w:val="top"/>
          </w:tcPr>
          <w:p>
            <w:pPr>
              <w:spacing w:after="10" w:line="240" w:lineRule="auto"/>
            </w:pPr>
            <w:r>
              <w:rPr>
                <w:rFonts w:ascii="Arial" w:hAnsi="Arial"/>
                <w:sz w:val="13"/>
              </w:rPr>
              <w:t>Private pneumococcal submarket size N/D; PCV13 60% value share</w:t>
            </w:r>
          </w:p>
        </w:tc>
        <w:tc>
          <w:tcPr>
            <w:tcW w:type="dxa" w:w="1656"/>
            <w:tcMar>
              <w:top w:w="55" w:type="dxa"/>
              <w:start w:w="70" w:type="dxa"/>
              <w:bottom w:w="55" w:type="dxa"/>
              <w:end w:w="70" w:type="dxa"/>
            </w:tcMar>
            <w:vAlign w:val="top"/>
          </w:tcPr>
          <w:p>
            <w:pPr>
              <w:spacing w:after="10" w:line="240" w:lineRule="auto"/>
            </w:pPr>
            <w:r>
              <w:rPr>
                <w:rFonts w:ascii="Arial" w:hAnsi="Arial"/>
                <w:sz w:val="13"/>
              </w:rPr>
              <w:t>Private paediatric/adult</w:t>
            </w:r>
          </w:p>
        </w:tc>
        <w:tc>
          <w:tcPr>
            <w:tcW w:type="dxa" w:w="1656"/>
            <w:tcMar>
              <w:top w:w="55" w:type="dxa"/>
              <w:start w:w="70" w:type="dxa"/>
              <w:bottom w:w="55" w:type="dxa"/>
              <w:end w:w="70" w:type="dxa"/>
            </w:tcMar>
            <w:vAlign w:val="top"/>
          </w:tcPr>
          <w:p>
            <w:pPr>
              <w:spacing w:after="10" w:line="240" w:lineRule="auto"/>
            </w:pPr>
            <w:r>
              <w:rPr>
                <w:rFonts w:ascii="Arial" w:hAnsi="Arial"/>
                <w:sz w:val="13"/>
              </w:rPr>
              <w:t>Premium private-pay</w:t>
            </w:r>
          </w:p>
        </w:tc>
        <w:tc>
          <w:tcPr>
            <w:tcW w:type="dxa" w:w="1872"/>
            <w:tcMar>
              <w:top w:w="55" w:type="dxa"/>
              <w:start w:w="70" w:type="dxa"/>
              <w:bottom w:w="55" w:type="dxa"/>
              <w:end w:w="70" w:type="dxa"/>
            </w:tcMar>
            <w:vAlign w:val="top"/>
          </w:tcPr>
          <w:p>
            <w:pPr>
              <w:spacing w:after="10" w:line="240" w:lineRule="auto"/>
            </w:pPr>
            <w:r>
              <w:rPr>
                <w:rFonts w:ascii="Arial" w:hAnsi="Arial"/>
                <w:sz w:val="13"/>
              </w:rPr>
              <w:t>High single digit to low teens</w:t>
            </w:r>
          </w:p>
        </w:tc>
      </w:tr>
      <w:tr>
        <w:trPr>
          <w:cantSplit/>
        </w:trPr>
        <w:tc>
          <w:tcPr>
            <w:tcW w:type="dxa" w:w="1728"/>
            <w:shd w:fill="F7F7F7"/>
            <w:tcMar>
              <w:top w:w="55" w:type="dxa"/>
              <w:start w:w="70" w:type="dxa"/>
              <w:bottom w:w="55" w:type="dxa"/>
              <w:end w:w="70" w:type="dxa"/>
            </w:tcMar>
            <w:vAlign w:val="top"/>
          </w:tcPr>
          <w:p>
            <w:pPr>
              <w:spacing w:after="10" w:line="240" w:lineRule="auto"/>
            </w:pPr>
            <w:r>
              <w:rPr>
                <w:rFonts w:ascii="Arial" w:hAnsi="Arial"/>
                <w:b/>
                <w:sz w:val="13"/>
              </w:rPr>
              <w:t>Hospital anti-infectives</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₹390cr BE</w:t>
            </w:r>
          </w:p>
        </w:tc>
        <w:tc>
          <w:tcPr>
            <w:tcW w:type="dxa" w:w="3240"/>
            <w:shd w:fill="F7F7F7"/>
            <w:tcMar>
              <w:top w:w="55" w:type="dxa"/>
              <w:start w:w="70" w:type="dxa"/>
              <w:bottom w:w="55" w:type="dxa"/>
              <w:end w:w="70" w:type="dxa"/>
            </w:tcMar>
            <w:vAlign w:val="top"/>
          </w:tcPr>
          <w:p>
            <w:pPr>
              <w:spacing w:after="10" w:line="240" w:lineRule="auto"/>
            </w:pPr>
            <w:r>
              <w:rPr>
                <w:rFonts w:ascii="Arial" w:hAnsi="Arial"/>
                <w:sz w:val="13"/>
              </w:rPr>
              <w:t>Submarket sizes N/D; Zavicefta 42% represented share</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Hospitals/institutions</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High price, stewardship</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3"/>
              </w:rPr>
              <w:t>High single digit</w:t>
            </w:r>
          </w:p>
        </w:tc>
      </w:tr>
      <w:tr>
        <w:trPr>
          <w:cantSplit/>
        </w:trPr>
        <w:tc>
          <w:tcPr>
            <w:tcW w:type="dxa" w:w="1728"/>
            <w:tcMar>
              <w:top w:w="55" w:type="dxa"/>
              <w:start w:w="70" w:type="dxa"/>
              <w:bottom w:w="55" w:type="dxa"/>
              <w:end w:w="70" w:type="dxa"/>
            </w:tcMar>
            <w:vAlign w:val="top"/>
          </w:tcPr>
          <w:p>
            <w:pPr>
              <w:spacing w:after="10" w:line="240" w:lineRule="auto"/>
            </w:pPr>
            <w:r>
              <w:rPr>
                <w:rFonts w:ascii="Arial" w:hAnsi="Arial"/>
                <w:b/>
                <w:sz w:val="13"/>
              </w:rPr>
              <w:t>Cardiovascular</w:t>
            </w:r>
          </w:p>
        </w:tc>
        <w:tc>
          <w:tcPr>
            <w:tcW w:type="dxa" w:w="1656"/>
            <w:tcMar>
              <w:top w:w="55" w:type="dxa"/>
              <w:start w:w="70" w:type="dxa"/>
              <w:bottom w:w="55" w:type="dxa"/>
              <w:end w:w="70" w:type="dxa"/>
            </w:tcMar>
            <w:vAlign w:val="top"/>
          </w:tcPr>
          <w:p>
            <w:pPr>
              <w:spacing w:after="10" w:line="240" w:lineRule="auto"/>
            </w:pPr>
            <w:r>
              <w:rPr>
                <w:rFonts w:ascii="Arial" w:hAnsi="Arial"/>
                <w:sz w:val="13"/>
              </w:rPr>
              <w:t>₹422cr BE</w:t>
            </w:r>
          </w:p>
        </w:tc>
        <w:tc>
          <w:tcPr>
            <w:tcW w:type="dxa" w:w="3240"/>
            <w:tcMar>
              <w:top w:w="55" w:type="dxa"/>
              <w:start w:w="70" w:type="dxa"/>
              <w:bottom w:w="55" w:type="dxa"/>
              <w:end w:w="70" w:type="dxa"/>
            </w:tcMar>
            <w:vAlign w:val="top"/>
          </w:tcPr>
          <w:p>
            <w:pPr>
              <w:spacing w:after="10" w:line="240" w:lineRule="auto"/>
            </w:pPr>
            <w:r>
              <w:rPr>
                <w:rFonts w:ascii="Arial" w:hAnsi="Arial"/>
                <w:sz w:val="13"/>
              </w:rPr>
              <w:t>Eliquis represented share 37%</w:t>
            </w:r>
          </w:p>
        </w:tc>
        <w:tc>
          <w:tcPr>
            <w:tcW w:type="dxa" w:w="1656"/>
            <w:tcMar>
              <w:top w:w="55" w:type="dxa"/>
              <w:start w:w="70" w:type="dxa"/>
              <w:bottom w:w="55" w:type="dxa"/>
              <w:end w:w="70" w:type="dxa"/>
            </w:tcMar>
            <w:vAlign w:val="top"/>
          </w:tcPr>
          <w:p>
            <w:pPr>
              <w:spacing w:after="10" w:line="240" w:lineRule="auto"/>
            </w:pPr>
            <w:r>
              <w:rPr>
                <w:rFonts w:ascii="Arial" w:hAnsi="Arial"/>
                <w:sz w:val="13"/>
              </w:rPr>
              <w:t>Retail specialist</w:t>
            </w:r>
          </w:p>
        </w:tc>
        <w:tc>
          <w:tcPr>
            <w:tcW w:type="dxa" w:w="1656"/>
            <w:tcMar>
              <w:top w:w="55" w:type="dxa"/>
              <w:start w:w="70" w:type="dxa"/>
              <w:bottom w:w="55" w:type="dxa"/>
              <w:end w:w="70" w:type="dxa"/>
            </w:tcMar>
            <w:vAlign w:val="top"/>
          </w:tcPr>
          <w:p>
            <w:pPr>
              <w:spacing w:after="10" w:line="240" w:lineRule="auto"/>
            </w:pPr>
            <w:r>
              <w:rPr>
                <w:rFonts w:ascii="Arial" w:hAnsi="Arial"/>
                <w:sz w:val="13"/>
              </w:rPr>
              <w:t>Genericised molecule</w:t>
            </w:r>
          </w:p>
        </w:tc>
        <w:tc>
          <w:tcPr>
            <w:tcW w:type="dxa" w:w="1872"/>
            <w:tcMar>
              <w:top w:w="55" w:type="dxa"/>
              <w:start w:w="70" w:type="dxa"/>
              <w:bottom w:w="55" w:type="dxa"/>
              <w:end w:w="70" w:type="dxa"/>
            </w:tcMar>
            <w:vAlign w:val="top"/>
          </w:tcPr>
          <w:p>
            <w:pPr>
              <w:spacing w:after="10" w:line="240" w:lineRule="auto"/>
            </w:pPr>
            <w:r>
              <w:rPr>
                <w:rFonts w:ascii="Arial" w:hAnsi="Arial"/>
                <w:sz w:val="13"/>
              </w:rPr>
              <w:t>Mid single digit after Minipress exit</w:t>
            </w:r>
          </w:p>
        </w:tc>
      </w:tr>
      <w:tr>
        <w:trPr>
          <w:cantSplit/>
        </w:trPr>
        <w:tc>
          <w:tcPr>
            <w:tcW w:type="dxa" w:w="1728"/>
            <w:shd w:fill="F7F7F7"/>
            <w:tcMar>
              <w:top w:w="55" w:type="dxa"/>
              <w:start w:w="70" w:type="dxa"/>
              <w:bottom w:w="55" w:type="dxa"/>
              <w:end w:w="70" w:type="dxa"/>
            </w:tcMar>
            <w:vAlign w:val="top"/>
          </w:tcPr>
          <w:p>
            <w:pPr>
              <w:spacing w:after="10" w:line="240" w:lineRule="auto"/>
            </w:pPr>
            <w:r>
              <w:rPr>
                <w:rFonts w:ascii="Arial" w:hAnsi="Arial"/>
                <w:b/>
                <w:sz w:val="13"/>
              </w:rPr>
              <w:t>Vitamins/nutrition</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₹250cr BE</w:t>
            </w:r>
          </w:p>
        </w:tc>
        <w:tc>
          <w:tcPr>
            <w:tcW w:type="dxa" w:w="3240"/>
            <w:shd w:fill="F7F7F7"/>
            <w:tcMar>
              <w:top w:w="55" w:type="dxa"/>
              <w:start w:w="70" w:type="dxa"/>
              <w:bottom w:w="55" w:type="dxa"/>
              <w:end w:w="70" w:type="dxa"/>
            </w:tcMar>
            <w:vAlign w:val="top"/>
          </w:tcPr>
          <w:p>
            <w:pPr>
              <w:spacing w:after="10" w:line="240" w:lineRule="auto"/>
            </w:pPr>
            <w:r>
              <w:rPr>
                <w:rFonts w:ascii="Arial" w:hAnsi="Arial"/>
                <w:sz w:val="13"/>
              </w:rPr>
              <w:t>Vitamins market about ₹3,000cr</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Retail/consumer-centric</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Trade and prescription</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3"/>
              </w:rPr>
              <w:t>Mid single digit</w:t>
            </w:r>
          </w:p>
        </w:tc>
      </w:tr>
      <w:tr>
        <w:trPr>
          <w:cantSplit/>
        </w:trPr>
        <w:tc>
          <w:tcPr>
            <w:tcW w:type="dxa" w:w="1728"/>
            <w:tcMar>
              <w:top w:w="55" w:type="dxa"/>
              <w:start w:w="70" w:type="dxa"/>
              <w:bottom w:w="55" w:type="dxa"/>
              <w:end w:w="70" w:type="dxa"/>
            </w:tcMar>
            <w:vAlign w:val="top"/>
          </w:tcPr>
          <w:p>
            <w:pPr>
              <w:spacing w:after="10" w:line="240" w:lineRule="auto"/>
            </w:pPr>
            <w:r>
              <w:rPr>
                <w:rFonts w:ascii="Arial" w:hAnsi="Arial"/>
                <w:b/>
                <w:sz w:val="13"/>
              </w:rPr>
              <w:t>Respiratory</w:t>
            </w:r>
          </w:p>
        </w:tc>
        <w:tc>
          <w:tcPr>
            <w:tcW w:type="dxa" w:w="1656"/>
            <w:tcMar>
              <w:top w:w="55" w:type="dxa"/>
              <w:start w:w="70" w:type="dxa"/>
              <w:bottom w:w="55" w:type="dxa"/>
              <w:end w:w="70" w:type="dxa"/>
            </w:tcMar>
            <w:vAlign w:val="top"/>
          </w:tcPr>
          <w:p>
            <w:pPr>
              <w:spacing w:after="10" w:line="240" w:lineRule="auto"/>
            </w:pPr>
            <w:r>
              <w:rPr>
                <w:rFonts w:ascii="Arial" w:hAnsi="Arial"/>
                <w:sz w:val="13"/>
              </w:rPr>
              <w:t>₹180cr BE</w:t>
            </w:r>
          </w:p>
        </w:tc>
        <w:tc>
          <w:tcPr>
            <w:tcW w:type="dxa" w:w="3240"/>
            <w:tcMar>
              <w:top w:w="55" w:type="dxa"/>
              <w:start w:w="70" w:type="dxa"/>
              <w:bottom w:w="55" w:type="dxa"/>
              <w:end w:w="70" w:type="dxa"/>
            </w:tcMar>
            <w:vAlign w:val="top"/>
          </w:tcPr>
          <w:p>
            <w:pPr>
              <w:spacing w:after="10" w:line="240" w:lineRule="auto"/>
            </w:pPr>
            <w:r>
              <w:rPr>
                <w:rFonts w:ascii="Arial" w:hAnsi="Arial"/>
                <w:sz w:val="13"/>
              </w:rPr>
              <w:t>Corex submarket data not disclosed FY26</w:t>
            </w:r>
          </w:p>
        </w:tc>
        <w:tc>
          <w:tcPr>
            <w:tcW w:type="dxa" w:w="1656"/>
            <w:tcMar>
              <w:top w:w="55" w:type="dxa"/>
              <w:start w:w="70" w:type="dxa"/>
              <w:bottom w:w="55" w:type="dxa"/>
              <w:end w:w="70" w:type="dxa"/>
            </w:tcMar>
            <w:vAlign w:val="top"/>
          </w:tcPr>
          <w:p>
            <w:pPr>
              <w:spacing w:after="10" w:line="240" w:lineRule="auto"/>
            </w:pPr>
            <w:r>
              <w:rPr>
                <w:rFonts w:ascii="Arial" w:hAnsi="Arial"/>
                <w:sz w:val="13"/>
              </w:rPr>
              <w:t>Retail/acute</w:t>
            </w:r>
          </w:p>
        </w:tc>
        <w:tc>
          <w:tcPr>
            <w:tcW w:type="dxa" w:w="1656"/>
            <w:tcMar>
              <w:top w:w="55" w:type="dxa"/>
              <w:start w:w="70" w:type="dxa"/>
              <w:bottom w:w="55" w:type="dxa"/>
              <w:end w:w="70" w:type="dxa"/>
            </w:tcMar>
            <w:vAlign w:val="top"/>
          </w:tcPr>
          <w:p>
            <w:pPr>
              <w:spacing w:after="10" w:line="240" w:lineRule="auto"/>
            </w:pPr>
            <w:r>
              <w:rPr>
                <w:rFonts w:ascii="Arial" w:hAnsi="Arial"/>
                <w:sz w:val="13"/>
              </w:rPr>
              <w:t>Price-sensitive</w:t>
            </w:r>
          </w:p>
        </w:tc>
        <w:tc>
          <w:tcPr>
            <w:tcW w:type="dxa" w:w="1872"/>
            <w:tcMar>
              <w:top w:w="55" w:type="dxa"/>
              <w:start w:w="70" w:type="dxa"/>
              <w:bottom w:w="55" w:type="dxa"/>
              <w:end w:w="70" w:type="dxa"/>
            </w:tcMar>
            <w:vAlign w:val="top"/>
          </w:tcPr>
          <w:p>
            <w:pPr>
              <w:spacing w:after="10" w:line="240" w:lineRule="auto"/>
            </w:pPr>
            <w:r>
              <w:rPr>
                <w:rFonts w:ascii="Arial" w:hAnsi="Arial"/>
                <w:sz w:val="13"/>
              </w:rPr>
              <w:t>Low single digit</w:t>
            </w:r>
          </w:p>
        </w:tc>
      </w:tr>
      <w:tr>
        <w:trPr>
          <w:cantSplit/>
        </w:trPr>
        <w:tc>
          <w:tcPr>
            <w:tcW w:type="dxa" w:w="1728"/>
            <w:shd w:fill="F7F7F7"/>
            <w:tcMar>
              <w:top w:w="55" w:type="dxa"/>
              <w:start w:w="70" w:type="dxa"/>
              <w:bottom w:w="55" w:type="dxa"/>
              <w:end w:w="70" w:type="dxa"/>
            </w:tcMar>
            <w:vAlign w:val="top"/>
          </w:tcPr>
          <w:p>
            <w:pPr>
              <w:spacing w:after="10" w:line="240" w:lineRule="auto"/>
            </w:pPr>
            <w:r>
              <w:rPr>
                <w:rFonts w:ascii="Arial" w:hAnsi="Arial"/>
                <w:b/>
                <w:sz w:val="13"/>
              </w:rPr>
              <w:t>Women’s health</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₹130cr BE</w:t>
            </w:r>
          </w:p>
        </w:tc>
        <w:tc>
          <w:tcPr>
            <w:tcW w:type="dxa" w:w="3240"/>
            <w:shd w:fill="F7F7F7"/>
            <w:tcMar>
              <w:top w:w="55" w:type="dxa"/>
              <w:start w:w="70" w:type="dxa"/>
              <w:bottom w:w="55" w:type="dxa"/>
              <w:end w:w="70" w:type="dxa"/>
            </w:tcMar>
            <w:vAlign w:val="top"/>
          </w:tcPr>
          <w:p>
            <w:pPr>
              <w:spacing w:after="10" w:line="240" w:lineRule="auto"/>
            </w:pPr>
            <w:r>
              <w:rPr>
                <w:rFonts w:ascii="Arial" w:hAnsi="Arial"/>
                <w:sz w:val="13"/>
              </w:rPr>
              <w:t>24% folic combinations; 19% COC represented share</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Gynaecology/retail</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Branded established</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3"/>
              </w:rPr>
              <w:t>Mid single digit</w:t>
            </w:r>
          </w:p>
        </w:tc>
      </w:tr>
      <w:tr>
        <w:trPr>
          <w:cantSplit/>
        </w:trPr>
        <w:tc>
          <w:tcPr>
            <w:tcW w:type="dxa" w:w="1728"/>
            <w:tcMar>
              <w:top w:w="55" w:type="dxa"/>
              <w:start w:w="70" w:type="dxa"/>
              <w:bottom w:w="55" w:type="dxa"/>
              <w:end w:w="70" w:type="dxa"/>
            </w:tcMar>
            <w:vAlign w:val="top"/>
          </w:tcPr>
          <w:p>
            <w:pPr>
              <w:spacing w:after="10" w:line="240" w:lineRule="auto"/>
            </w:pPr>
            <w:r>
              <w:rPr>
                <w:rFonts w:ascii="Arial" w:hAnsi="Arial"/>
                <w:b/>
                <w:sz w:val="13"/>
              </w:rPr>
              <w:t>Immunology</w:t>
            </w:r>
          </w:p>
        </w:tc>
        <w:tc>
          <w:tcPr>
            <w:tcW w:type="dxa" w:w="1656"/>
            <w:tcMar>
              <w:top w:w="55" w:type="dxa"/>
              <w:start w:w="70" w:type="dxa"/>
              <w:bottom w:w="55" w:type="dxa"/>
              <w:end w:w="70" w:type="dxa"/>
            </w:tcMar>
            <w:vAlign w:val="top"/>
          </w:tcPr>
          <w:p>
            <w:pPr>
              <w:spacing w:after="10" w:line="240" w:lineRule="auto"/>
            </w:pPr>
            <w:r>
              <w:rPr>
                <w:rFonts w:ascii="Arial" w:hAnsi="Arial"/>
                <w:sz w:val="13"/>
              </w:rPr>
              <w:t>₹115cr BE</w:t>
            </w:r>
          </w:p>
        </w:tc>
        <w:tc>
          <w:tcPr>
            <w:tcW w:type="dxa" w:w="3240"/>
            <w:tcMar>
              <w:top w:w="55" w:type="dxa"/>
              <w:start w:w="70" w:type="dxa"/>
              <w:bottom w:w="55" w:type="dxa"/>
              <w:end w:w="70" w:type="dxa"/>
            </w:tcMar>
            <w:vAlign w:val="top"/>
          </w:tcPr>
          <w:p>
            <w:pPr>
              <w:spacing w:after="10" w:line="240" w:lineRule="auto"/>
            </w:pPr>
            <w:r>
              <w:rPr>
                <w:rFonts w:ascii="Arial" w:hAnsi="Arial"/>
                <w:sz w:val="13"/>
              </w:rPr>
              <w:t>Betrecep #6 among &gt;85 brands</w:t>
            </w:r>
          </w:p>
        </w:tc>
        <w:tc>
          <w:tcPr>
            <w:tcW w:type="dxa" w:w="1656"/>
            <w:tcMar>
              <w:top w:w="55" w:type="dxa"/>
              <w:start w:w="70" w:type="dxa"/>
              <w:bottom w:w="55" w:type="dxa"/>
              <w:end w:w="70" w:type="dxa"/>
            </w:tcMar>
            <w:vAlign w:val="top"/>
          </w:tcPr>
          <w:p>
            <w:pPr>
              <w:spacing w:after="10" w:line="240" w:lineRule="auto"/>
            </w:pPr>
            <w:r>
              <w:rPr>
                <w:rFonts w:ascii="Arial" w:hAnsi="Arial"/>
                <w:sz w:val="13"/>
              </w:rPr>
              <w:t>Specialist/retail</w:t>
            </w:r>
          </w:p>
        </w:tc>
        <w:tc>
          <w:tcPr>
            <w:tcW w:type="dxa" w:w="1656"/>
            <w:tcMar>
              <w:top w:w="55" w:type="dxa"/>
              <w:start w:w="70" w:type="dxa"/>
              <w:bottom w:w="55" w:type="dxa"/>
              <w:end w:w="70" w:type="dxa"/>
            </w:tcMar>
            <w:vAlign w:val="top"/>
          </w:tcPr>
          <w:p>
            <w:pPr>
              <w:spacing w:after="10" w:line="240" w:lineRule="auto"/>
            </w:pPr>
            <w:r>
              <w:rPr>
                <w:rFonts w:ascii="Arial" w:hAnsi="Arial"/>
                <w:sz w:val="13"/>
              </w:rPr>
              <w:t>Biologic and branded generic</w:t>
            </w:r>
          </w:p>
        </w:tc>
        <w:tc>
          <w:tcPr>
            <w:tcW w:type="dxa" w:w="1872"/>
            <w:tcMar>
              <w:top w:w="55" w:type="dxa"/>
              <w:start w:w="70" w:type="dxa"/>
              <w:bottom w:w="55" w:type="dxa"/>
              <w:end w:w="70" w:type="dxa"/>
            </w:tcMar>
            <w:vAlign w:val="top"/>
          </w:tcPr>
          <w:p>
            <w:pPr>
              <w:spacing w:after="10" w:line="240" w:lineRule="auto"/>
            </w:pPr>
            <w:r>
              <w:rPr>
                <w:rFonts w:ascii="Arial" w:hAnsi="Arial"/>
                <w:sz w:val="13"/>
              </w:rPr>
              <w:t>High single digit from small base</w:t>
            </w:r>
          </w:p>
        </w:tc>
      </w:tr>
      <w:tr>
        <w:trPr>
          <w:cantSplit/>
        </w:trPr>
        <w:tc>
          <w:tcPr>
            <w:tcW w:type="dxa" w:w="1728"/>
            <w:shd w:fill="F7F7F7"/>
            <w:tcMar>
              <w:top w:w="55" w:type="dxa"/>
              <w:start w:w="70" w:type="dxa"/>
              <w:bottom w:w="55" w:type="dxa"/>
              <w:end w:w="70" w:type="dxa"/>
            </w:tcMar>
            <w:vAlign w:val="top"/>
          </w:tcPr>
          <w:p>
            <w:pPr>
              <w:spacing w:after="10" w:line="240" w:lineRule="auto"/>
            </w:pPr>
            <w:r>
              <w:rPr>
                <w:rFonts w:ascii="Arial" w:hAnsi="Arial"/>
                <w:b/>
                <w:sz w:val="13"/>
              </w:rPr>
              <w:t>Oncology</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No direct listed sales identified</w:t>
            </w:r>
          </w:p>
        </w:tc>
        <w:tc>
          <w:tcPr>
            <w:tcW w:type="dxa" w:w="3240"/>
            <w:shd w:fill="F7F7F7"/>
            <w:tcMar>
              <w:top w:w="55" w:type="dxa"/>
              <w:start w:w="70" w:type="dxa"/>
              <w:bottom w:w="55" w:type="dxa"/>
              <w:end w:w="70" w:type="dxa"/>
            </w:tcMar>
            <w:vAlign w:val="top"/>
          </w:tcPr>
          <w:p>
            <w:pPr>
              <w:spacing w:after="10" w:line="240" w:lineRule="auto"/>
            </w:pPr>
            <w:r>
              <w:rPr>
                <w:rFonts w:ascii="Arial" w:hAnsi="Arial"/>
                <w:sz w:val="13"/>
              </w:rPr>
              <w:t>PPIPL markets selected Pfizer oncology products</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Private-affiliate specialist</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Patented/branded</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3"/>
              </w:rPr>
              <w:t>No listed forecast</w:t>
            </w:r>
          </w:p>
        </w:tc>
      </w:tr>
      <w:tr>
        <w:trPr>
          <w:cantSplit/>
        </w:trPr>
        <w:tc>
          <w:tcPr>
            <w:tcW w:type="dxa" w:w="1728"/>
            <w:tcMar>
              <w:top w:w="55" w:type="dxa"/>
              <w:start w:w="70" w:type="dxa"/>
              <w:bottom w:w="55" w:type="dxa"/>
              <w:end w:w="70" w:type="dxa"/>
            </w:tcMar>
            <w:vAlign w:val="top"/>
          </w:tcPr>
          <w:p>
            <w:pPr>
              <w:spacing w:after="10" w:line="240" w:lineRule="auto"/>
            </w:pPr>
            <w:r>
              <w:rPr>
                <w:rFonts w:ascii="Arial" w:hAnsi="Arial"/>
                <w:b/>
                <w:sz w:val="13"/>
              </w:rPr>
              <w:t>Rare disease</w:t>
            </w:r>
          </w:p>
        </w:tc>
        <w:tc>
          <w:tcPr>
            <w:tcW w:type="dxa" w:w="1656"/>
            <w:tcMar>
              <w:top w:w="55" w:type="dxa"/>
              <w:start w:w="70" w:type="dxa"/>
              <w:bottom w:w="55" w:type="dxa"/>
              <w:end w:w="70" w:type="dxa"/>
            </w:tcMar>
            <w:vAlign w:val="top"/>
          </w:tcPr>
          <w:p>
            <w:pPr>
              <w:spacing w:after="10" w:line="240" w:lineRule="auto"/>
            </w:pPr>
            <w:r>
              <w:rPr>
                <w:rFonts w:ascii="Arial" w:hAnsi="Arial"/>
                <w:sz w:val="13"/>
              </w:rPr>
              <w:t>No direct listed sales identified</w:t>
            </w:r>
          </w:p>
        </w:tc>
        <w:tc>
          <w:tcPr>
            <w:tcW w:type="dxa" w:w="3240"/>
            <w:tcMar>
              <w:top w:w="55" w:type="dxa"/>
              <w:start w:w="70" w:type="dxa"/>
              <w:bottom w:w="55" w:type="dxa"/>
              <w:end w:w="70" w:type="dxa"/>
            </w:tcMar>
            <w:vAlign w:val="top"/>
          </w:tcPr>
          <w:p>
            <w:pPr>
              <w:spacing w:after="10" w:line="240" w:lineRule="auto"/>
            </w:pPr>
            <w:r>
              <w:rPr>
                <w:rFonts w:ascii="Arial" w:hAnsi="Arial"/>
                <w:sz w:val="13"/>
              </w:rPr>
              <w:t>Xyntha label names PPIPL; pipeline rights N/V</w:t>
            </w:r>
          </w:p>
        </w:tc>
        <w:tc>
          <w:tcPr>
            <w:tcW w:type="dxa" w:w="1656"/>
            <w:tcMar>
              <w:top w:w="55" w:type="dxa"/>
              <w:start w:w="70" w:type="dxa"/>
              <w:bottom w:w="55" w:type="dxa"/>
              <w:end w:w="70" w:type="dxa"/>
            </w:tcMar>
            <w:vAlign w:val="top"/>
          </w:tcPr>
          <w:p>
            <w:pPr>
              <w:spacing w:after="10" w:line="240" w:lineRule="auto"/>
            </w:pPr>
            <w:r>
              <w:rPr>
                <w:rFonts w:ascii="Arial" w:hAnsi="Arial"/>
                <w:sz w:val="13"/>
              </w:rPr>
              <w:t>Private-affiliate specialist</w:t>
            </w:r>
          </w:p>
        </w:tc>
        <w:tc>
          <w:tcPr>
            <w:tcW w:type="dxa" w:w="1656"/>
            <w:tcMar>
              <w:top w:w="55" w:type="dxa"/>
              <w:start w:w="70" w:type="dxa"/>
              <w:bottom w:w="55" w:type="dxa"/>
              <w:end w:w="70" w:type="dxa"/>
            </w:tcMar>
            <w:vAlign w:val="top"/>
          </w:tcPr>
          <w:p>
            <w:pPr>
              <w:spacing w:after="10" w:line="240" w:lineRule="auto"/>
            </w:pPr>
            <w:r>
              <w:rPr>
                <w:rFonts w:ascii="Arial" w:hAnsi="Arial"/>
                <w:sz w:val="13"/>
              </w:rPr>
              <w:t>High-cost specialty</w:t>
            </w:r>
          </w:p>
        </w:tc>
        <w:tc>
          <w:tcPr>
            <w:tcW w:type="dxa" w:w="1872"/>
            <w:tcMar>
              <w:top w:w="55" w:type="dxa"/>
              <w:start w:w="70" w:type="dxa"/>
              <w:bottom w:w="55" w:type="dxa"/>
              <w:end w:w="70" w:type="dxa"/>
            </w:tcMar>
            <w:vAlign w:val="top"/>
          </w:tcPr>
          <w:p>
            <w:pPr>
              <w:spacing w:after="10" w:line="240" w:lineRule="auto"/>
            </w:pPr>
            <w:r>
              <w:rPr>
                <w:rFonts w:ascii="Arial" w:hAnsi="Arial"/>
                <w:sz w:val="13"/>
              </w:rPr>
              <w:t>No listed forecast</w:t>
            </w:r>
          </w:p>
        </w:tc>
      </w:tr>
      <w:tr>
        <w:trPr>
          <w:cantSplit/>
        </w:trPr>
        <w:tc>
          <w:tcPr>
            <w:tcW w:type="dxa" w:w="1728"/>
            <w:shd w:fill="F7F7F7"/>
            <w:tcMar>
              <w:top w:w="55" w:type="dxa"/>
              <w:start w:w="70" w:type="dxa"/>
              <w:bottom w:w="55" w:type="dxa"/>
              <w:end w:w="70" w:type="dxa"/>
            </w:tcMar>
            <w:vAlign w:val="top"/>
          </w:tcPr>
          <w:p>
            <w:pPr>
              <w:spacing w:after="10" w:line="240" w:lineRule="auto"/>
            </w:pPr>
            <w:r>
              <w:rPr>
                <w:rFonts w:ascii="Arial" w:hAnsi="Arial"/>
                <w:b/>
                <w:sz w:val="13"/>
              </w:rPr>
              <w:t>Pain/GI/CNS/other</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₹500cr BE</w:t>
            </w:r>
          </w:p>
        </w:tc>
        <w:tc>
          <w:tcPr>
            <w:tcW w:type="dxa" w:w="3240"/>
            <w:shd w:fill="F7F7F7"/>
            <w:tcMar>
              <w:top w:w="55" w:type="dxa"/>
              <w:start w:w="70" w:type="dxa"/>
              <w:bottom w:w="55" w:type="dxa"/>
              <w:end w:w="70" w:type="dxa"/>
            </w:tcMar>
            <w:vAlign w:val="top"/>
          </w:tcPr>
          <w:p>
            <w:pPr>
              <w:spacing w:after="10" w:line="240" w:lineRule="auto"/>
            </w:pPr>
            <w:r>
              <w:rPr>
                <w:rFonts w:ascii="Arial" w:hAnsi="Arial"/>
                <w:sz w:val="13"/>
              </w:rPr>
              <w:t>Mixed; N/D</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Retail and specialist</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Mostly mature</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3"/>
              </w:rPr>
              <w:t>Flat to low single digit</w:t>
            </w:r>
          </w:p>
        </w:tc>
      </w:tr>
    </w:tbl>
    <w:p>
      <w:pPr>
        <w:pStyle w:val="ExhibitTitle"/>
      </w:pPr>
      <w:r>
        <w:t>Exhibit 4. Growth comes from vaccines, anticoagulation and hospitals; the rest protects the base</w:t>
      </w:r>
    </w:p>
    <w:p>
      <w:r>
        <w:rPr>
          <w:color w:val="59636E"/>
          <w:sz w:val="15"/>
        </w:rPr>
        <w:t>Company-wide exposure is diversified by therapy, but growth is concentrated in three franchises.</w:t>
      </w:r>
    </w:p>
    <w:p>
      <w:pPr>
        <w:pStyle w:val="Source"/>
      </w:pPr>
      <w:r>
        <w:t>Source: Pfizer FY26 Annual Report [S1]; Bernstein estimates. Indian market total: ₹256,500cr, +9.9%; chronic +13.6%, acute +7.5% [S1, p. 49].</w:t>
      </w:r>
    </w:p>
    <w:p>
      <w:pPr>
        <w:pStyle w:val="Heading1"/>
      </w:pPr>
      <w:r>
        <w:t>PART III: Listed versus private Pfizer</w:t>
      </w:r>
    </w:p>
    <w:p>
      <w:pPr>
        <w:pStyle w:val="Heading2"/>
      </w:pPr>
      <w:r>
        <w:t>Forensic portfolio ownership</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584"/>
            <w:shd w:fill="9B1C31"/>
            <w:tcMar>
              <w:top w:w="55" w:type="dxa"/>
              <w:start w:w="70" w:type="dxa"/>
              <w:bottom w:w="55" w:type="dxa"/>
              <w:end w:w="70" w:type="dxa"/>
            </w:tcMar>
            <w:vAlign w:val="center"/>
          </w:tcPr>
          <w:p>
            <w:pPr>
              <w:spacing w:line="240" w:lineRule="auto" w:after="10"/>
              <w:jc w:val="left"/>
            </w:pPr>
            <w:r>
              <w:rPr>
                <w:rFonts w:ascii="Arial" w:hAnsi="Arial"/>
                <w:b/>
                <w:color w:val="FFFFFF"/>
                <w:sz w:val="12"/>
              </w:rPr>
              <w:t>Global product</w:t>
            </w:r>
          </w:p>
        </w:tc>
        <w:tc>
          <w:tcPr>
            <w:tcW w:type="dxa" w:w="1440"/>
            <w:shd w:fill="9B1C31"/>
            <w:tcMar>
              <w:top w:w="55" w:type="dxa"/>
              <w:start w:w="70" w:type="dxa"/>
              <w:bottom w:w="55" w:type="dxa"/>
              <w:end w:w="70" w:type="dxa"/>
            </w:tcMar>
            <w:vAlign w:val="center"/>
          </w:tcPr>
          <w:p>
            <w:pPr>
              <w:spacing w:line="240" w:lineRule="auto" w:after="10"/>
              <w:jc w:val="left"/>
            </w:pPr>
            <w:r>
              <w:rPr>
                <w:rFonts w:ascii="Arial" w:hAnsi="Arial"/>
                <w:b/>
                <w:color w:val="FFFFFF"/>
                <w:sz w:val="12"/>
              </w:rPr>
              <w:t>Molecule</w:t>
            </w:r>
          </w:p>
        </w:tc>
        <w:tc>
          <w:tcPr>
            <w:tcW w:type="dxa" w:w="1728"/>
            <w:shd w:fill="9B1C31"/>
            <w:tcMar>
              <w:top w:w="55" w:type="dxa"/>
              <w:start w:w="70" w:type="dxa"/>
              <w:bottom w:w="55" w:type="dxa"/>
              <w:end w:w="70" w:type="dxa"/>
            </w:tcMar>
            <w:vAlign w:val="center"/>
          </w:tcPr>
          <w:p>
            <w:pPr>
              <w:spacing w:line="240" w:lineRule="auto" w:after="10"/>
              <w:jc w:val="left"/>
            </w:pPr>
            <w:r>
              <w:rPr>
                <w:rFonts w:ascii="Arial" w:hAnsi="Arial"/>
                <w:b/>
                <w:color w:val="FFFFFF"/>
                <w:sz w:val="12"/>
              </w:rPr>
              <w:t>Indication</w:t>
            </w:r>
          </w:p>
        </w:tc>
        <w:tc>
          <w:tcPr>
            <w:tcW w:type="dxa" w:w="1512"/>
            <w:shd w:fill="9B1C31"/>
            <w:tcMar>
              <w:top w:w="55" w:type="dxa"/>
              <w:start w:w="70" w:type="dxa"/>
              <w:bottom w:w="55" w:type="dxa"/>
              <w:end w:w="70" w:type="dxa"/>
            </w:tcMar>
            <w:vAlign w:val="center"/>
          </w:tcPr>
          <w:p>
            <w:pPr>
              <w:spacing w:line="240" w:lineRule="auto" w:after="10"/>
              <w:jc w:val="left"/>
            </w:pPr>
            <w:r>
              <w:rPr>
                <w:rFonts w:ascii="Arial" w:hAnsi="Arial"/>
                <w:b/>
                <w:color w:val="FFFFFF"/>
                <w:sz w:val="12"/>
              </w:rPr>
              <w:t>India status</w:t>
            </w:r>
          </w:p>
        </w:tc>
        <w:tc>
          <w:tcPr>
            <w:tcW w:type="dxa" w:w="1872"/>
            <w:shd w:fill="9B1C31"/>
            <w:tcMar>
              <w:top w:w="55" w:type="dxa"/>
              <w:start w:w="70" w:type="dxa"/>
              <w:bottom w:w="55" w:type="dxa"/>
              <w:end w:w="70" w:type="dxa"/>
            </w:tcMar>
            <w:vAlign w:val="center"/>
          </w:tcPr>
          <w:p>
            <w:pPr>
              <w:spacing w:line="240" w:lineRule="auto" w:after="10"/>
              <w:jc w:val="left"/>
            </w:pPr>
            <w:r>
              <w:rPr>
                <w:rFonts w:ascii="Arial" w:hAnsi="Arial"/>
                <w:b/>
                <w:color w:val="FFFFFF"/>
                <w:sz w:val="12"/>
              </w:rPr>
              <w:t>India marketer</w:t>
            </w:r>
          </w:p>
        </w:tc>
        <w:tc>
          <w:tcPr>
            <w:tcW w:type="dxa" w:w="2232"/>
            <w:shd w:fill="9B1C31"/>
            <w:tcMar>
              <w:top w:w="55" w:type="dxa"/>
              <w:start w:w="70" w:type="dxa"/>
              <w:bottom w:w="55" w:type="dxa"/>
              <w:end w:w="70" w:type="dxa"/>
            </w:tcMar>
            <w:vAlign w:val="center"/>
          </w:tcPr>
          <w:p>
            <w:pPr>
              <w:spacing w:line="240" w:lineRule="auto" w:after="10"/>
              <w:jc w:val="left"/>
            </w:pPr>
            <w:r>
              <w:rPr>
                <w:rFonts w:ascii="Arial" w:hAnsi="Arial"/>
                <w:b/>
                <w:color w:val="FFFFFF"/>
                <w:sz w:val="12"/>
              </w:rPr>
              <w:t>Listed economics</w:t>
            </w:r>
          </w:p>
        </w:tc>
        <w:tc>
          <w:tcPr>
            <w:tcW w:type="dxa" w:w="1728"/>
            <w:shd w:fill="9B1C31"/>
            <w:tcMar>
              <w:top w:w="55" w:type="dxa"/>
              <w:start w:w="70" w:type="dxa"/>
              <w:bottom w:w="55" w:type="dxa"/>
              <w:end w:w="70" w:type="dxa"/>
            </w:tcMar>
            <w:vAlign w:val="center"/>
          </w:tcPr>
          <w:p>
            <w:pPr>
              <w:spacing w:line="240" w:lineRule="auto" w:after="10"/>
              <w:jc w:val="left"/>
            </w:pPr>
            <w:r>
              <w:rPr>
                <w:rFonts w:ascii="Arial" w:hAnsi="Arial"/>
                <w:b/>
                <w:color w:val="FFFFFF"/>
                <w:sz w:val="12"/>
              </w:rPr>
              <w:t>Transfer probability</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2"/>
              </w:rPr>
              <w:t>Prevenar 13/20</w:t>
            </w:r>
          </w:p>
        </w:tc>
        <w:tc>
          <w:tcPr>
            <w:tcW w:type="dxa" w:w="1440"/>
            <w:tcMar>
              <w:top w:w="55" w:type="dxa"/>
              <w:start w:w="70" w:type="dxa"/>
              <w:bottom w:w="55" w:type="dxa"/>
              <w:end w:w="70" w:type="dxa"/>
            </w:tcMar>
            <w:vAlign w:val="top"/>
          </w:tcPr>
          <w:p>
            <w:pPr>
              <w:spacing w:after="10" w:line="240" w:lineRule="auto"/>
            </w:pPr>
            <w:r>
              <w:rPr>
                <w:rFonts w:ascii="Arial" w:hAnsi="Arial"/>
                <w:sz w:val="12"/>
              </w:rPr>
              <w:t>PCV</w:t>
            </w:r>
          </w:p>
        </w:tc>
        <w:tc>
          <w:tcPr>
            <w:tcW w:type="dxa" w:w="1728"/>
            <w:tcMar>
              <w:top w:w="55" w:type="dxa"/>
              <w:start w:w="70" w:type="dxa"/>
              <w:bottom w:w="55" w:type="dxa"/>
              <w:end w:w="70" w:type="dxa"/>
            </w:tcMar>
            <w:vAlign w:val="top"/>
          </w:tcPr>
          <w:p>
            <w:pPr>
              <w:spacing w:after="10" w:line="240" w:lineRule="auto"/>
            </w:pPr>
            <w:r>
              <w:rPr>
                <w:rFonts w:ascii="Arial" w:hAnsi="Arial"/>
                <w:sz w:val="12"/>
              </w:rPr>
              <w:t>Prevention</w:t>
            </w:r>
          </w:p>
        </w:tc>
        <w:tc>
          <w:tcPr>
            <w:tcW w:type="dxa" w:w="1512"/>
            <w:tcMar>
              <w:top w:w="55" w:type="dxa"/>
              <w:start w:w="70" w:type="dxa"/>
              <w:bottom w:w="55" w:type="dxa"/>
              <w:end w:w="70" w:type="dxa"/>
            </w:tcMar>
            <w:vAlign w:val="top"/>
          </w:tcPr>
          <w:p>
            <w:pPr>
              <w:spacing w:after="10" w:line="240" w:lineRule="auto"/>
            </w:pPr>
            <w:r>
              <w:rPr>
                <w:rFonts w:ascii="Arial" w:hAnsi="Arial"/>
                <w:sz w:val="12"/>
              </w:rPr>
              <w:t>Approved/marketed</w:t>
            </w:r>
          </w:p>
        </w:tc>
        <w:tc>
          <w:tcPr>
            <w:tcW w:type="dxa" w:w="1872"/>
            <w:tcMar>
              <w:top w:w="55" w:type="dxa"/>
              <w:start w:w="70" w:type="dxa"/>
              <w:bottom w:w="55" w:type="dxa"/>
              <w:end w:w="70" w:type="dxa"/>
            </w:tcMar>
            <w:vAlign w:val="top"/>
          </w:tcPr>
          <w:p>
            <w:pPr>
              <w:spacing w:after="10" w:line="240" w:lineRule="auto"/>
            </w:pPr>
            <w:r>
              <w:rPr>
                <w:rFonts w:ascii="Arial" w:hAnsi="Arial"/>
                <w:sz w:val="12"/>
              </w:rPr>
              <w:t>Pfizer Limited</w:t>
            </w:r>
          </w:p>
        </w:tc>
        <w:tc>
          <w:tcPr>
            <w:tcW w:type="dxa" w:w="2232"/>
            <w:tcMar>
              <w:top w:w="55" w:type="dxa"/>
              <w:start w:w="70" w:type="dxa"/>
              <w:bottom w:w="55" w:type="dxa"/>
              <w:end w:w="70" w:type="dxa"/>
            </w:tcMar>
            <w:vAlign w:val="top"/>
          </w:tcPr>
          <w:p>
            <w:pPr>
              <w:spacing w:after="10" w:line="240" w:lineRule="auto"/>
            </w:pPr>
            <w:r>
              <w:rPr>
                <w:rFonts w:ascii="Arial" w:hAnsi="Arial"/>
                <w:sz w:val="12"/>
              </w:rPr>
              <w:t>Direct product economics</w:t>
            </w:r>
          </w:p>
        </w:tc>
        <w:tc>
          <w:tcPr>
            <w:tcW w:type="dxa" w:w="1728"/>
            <w:tcMar>
              <w:top w:w="55" w:type="dxa"/>
              <w:start w:w="70" w:type="dxa"/>
              <w:bottom w:w="55" w:type="dxa"/>
              <w:end w:w="70" w:type="dxa"/>
            </w:tcMar>
            <w:vAlign w:val="top"/>
          </w:tcPr>
          <w:p>
            <w:pPr>
              <w:spacing w:after="10" w:line="240" w:lineRule="auto"/>
            </w:pPr>
            <w:r>
              <w:rPr>
                <w:rFonts w:ascii="Arial" w:hAnsi="Arial"/>
                <w:sz w:val="12"/>
              </w:rPr>
              <w:t>High: already listed</w:t>
            </w:r>
          </w:p>
        </w:tc>
      </w:tr>
      <w:tr>
        <w:trPr>
          <w:cantSplit/>
        </w:trPr>
        <w:tc>
          <w:tcPr>
            <w:tcW w:type="dxa" w:w="1584"/>
            <w:shd w:fill="F7F7F7"/>
            <w:tcMar>
              <w:top w:w="55" w:type="dxa"/>
              <w:start w:w="70" w:type="dxa"/>
              <w:bottom w:w="55" w:type="dxa"/>
              <w:end w:w="70" w:type="dxa"/>
            </w:tcMar>
            <w:vAlign w:val="top"/>
          </w:tcPr>
          <w:p>
            <w:pPr>
              <w:spacing w:after="10" w:line="240" w:lineRule="auto"/>
            </w:pPr>
            <w:r>
              <w:rPr>
                <w:rFonts w:ascii="Arial" w:hAnsi="Arial"/>
                <w:b/>
                <w:sz w:val="12"/>
              </w:rPr>
              <w:t>Eliquis</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2"/>
              </w:rPr>
              <w:t>Apixaban</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2"/>
              </w:rPr>
              <w:t>AF/VTE</w:t>
            </w:r>
          </w:p>
        </w:tc>
        <w:tc>
          <w:tcPr>
            <w:tcW w:type="dxa" w:w="1512"/>
            <w:shd w:fill="F7F7F7"/>
            <w:tcMar>
              <w:top w:w="55" w:type="dxa"/>
              <w:start w:w="70" w:type="dxa"/>
              <w:bottom w:w="55" w:type="dxa"/>
              <w:end w:w="70" w:type="dxa"/>
            </w:tcMar>
            <w:vAlign w:val="top"/>
          </w:tcPr>
          <w:p>
            <w:pPr>
              <w:spacing w:after="10" w:line="240" w:lineRule="auto"/>
            </w:pPr>
            <w:r>
              <w:rPr>
                <w:rFonts w:ascii="Arial" w:hAnsi="Arial"/>
                <w:sz w:val="12"/>
              </w:rPr>
              <w:t>Approved/marketed</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2"/>
              </w:rPr>
              <w:t>Pfizer Limited</w:t>
            </w:r>
          </w:p>
        </w:tc>
        <w:tc>
          <w:tcPr>
            <w:tcW w:type="dxa" w:w="2232"/>
            <w:shd w:fill="F7F7F7"/>
            <w:tcMar>
              <w:top w:w="55" w:type="dxa"/>
              <w:start w:w="70" w:type="dxa"/>
              <w:bottom w:w="55" w:type="dxa"/>
              <w:end w:w="70" w:type="dxa"/>
            </w:tcMar>
            <w:vAlign w:val="top"/>
          </w:tcPr>
          <w:p>
            <w:pPr>
              <w:spacing w:after="10" w:line="240" w:lineRule="auto"/>
            </w:pPr>
            <w:r>
              <w:rPr>
                <w:rFonts w:ascii="Arial" w:hAnsi="Arial"/>
                <w:sz w:val="12"/>
              </w:rPr>
              <w:t>Direct product economics</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2"/>
              </w:rPr>
              <w:t>High: already listed</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2"/>
              </w:rPr>
              <w:t>Nurtec ODT</w:t>
            </w:r>
          </w:p>
        </w:tc>
        <w:tc>
          <w:tcPr>
            <w:tcW w:type="dxa" w:w="1440"/>
            <w:tcMar>
              <w:top w:w="55" w:type="dxa"/>
              <w:start w:w="70" w:type="dxa"/>
              <w:bottom w:w="55" w:type="dxa"/>
              <w:end w:w="70" w:type="dxa"/>
            </w:tcMar>
            <w:vAlign w:val="top"/>
          </w:tcPr>
          <w:p>
            <w:pPr>
              <w:spacing w:after="10" w:line="240" w:lineRule="auto"/>
            </w:pPr>
            <w:r>
              <w:rPr>
                <w:rFonts w:ascii="Arial" w:hAnsi="Arial"/>
                <w:sz w:val="12"/>
              </w:rPr>
              <w:t>Rimegepant</w:t>
            </w:r>
          </w:p>
        </w:tc>
        <w:tc>
          <w:tcPr>
            <w:tcW w:type="dxa" w:w="1728"/>
            <w:tcMar>
              <w:top w:w="55" w:type="dxa"/>
              <w:start w:w="70" w:type="dxa"/>
              <w:bottom w:w="55" w:type="dxa"/>
              <w:end w:w="70" w:type="dxa"/>
            </w:tcMar>
            <w:vAlign w:val="top"/>
          </w:tcPr>
          <w:p>
            <w:pPr>
              <w:spacing w:after="10" w:line="240" w:lineRule="auto"/>
            </w:pPr>
            <w:r>
              <w:rPr>
                <w:rFonts w:ascii="Arial" w:hAnsi="Arial"/>
                <w:sz w:val="12"/>
              </w:rPr>
              <w:t>Migraine</w:t>
            </w:r>
          </w:p>
        </w:tc>
        <w:tc>
          <w:tcPr>
            <w:tcW w:type="dxa" w:w="1512"/>
            <w:tcMar>
              <w:top w:w="55" w:type="dxa"/>
              <w:start w:w="70" w:type="dxa"/>
              <w:bottom w:w="55" w:type="dxa"/>
              <w:end w:w="70" w:type="dxa"/>
            </w:tcMar>
            <w:vAlign w:val="top"/>
          </w:tcPr>
          <w:p>
            <w:pPr>
              <w:spacing w:after="10" w:line="240" w:lineRule="auto"/>
            </w:pPr>
            <w:r>
              <w:rPr>
                <w:rFonts w:ascii="Arial" w:hAnsi="Arial"/>
                <w:sz w:val="12"/>
              </w:rPr>
              <w:t>Approved/launched</w:t>
            </w:r>
          </w:p>
        </w:tc>
        <w:tc>
          <w:tcPr>
            <w:tcW w:type="dxa" w:w="1872"/>
            <w:tcMar>
              <w:top w:w="55" w:type="dxa"/>
              <w:start w:w="70" w:type="dxa"/>
              <w:bottom w:w="55" w:type="dxa"/>
              <w:end w:w="70" w:type="dxa"/>
            </w:tcMar>
            <w:vAlign w:val="top"/>
          </w:tcPr>
          <w:p>
            <w:pPr>
              <w:spacing w:after="10" w:line="240" w:lineRule="auto"/>
            </w:pPr>
            <w:r>
              <w:rPr>
                <w:rFonts w:ascii="Arial" w:hAnsi="Arial"/>
                <w:sz w:val="12"/>
              </w:rPr>
              <w:t>Pfizer Limited</w:t>
            </w:r>
          </w:p>
        </w:tc>
        <w:tc>
          <w:tcPr>
            <w:tcW w:type="dxa" w:w="2232"/>
            <w:tcMar>
              <w:top w:w="55" w:type="dxa"/>
              <w:start w:w="70" w:type="dxa"/>
              <w:bottom w:w="55" w:type="dxa"/>
              <w:end w:w="70" w:type="dxa"/>
            </w:tcMar>
            <w:vAlign w:val="top"/>
          </w:tcPr>
          <w:p>
            <w:pPr>
              <w:spacing w:after="10" w:line="240" w:lineRule="auto"/>
            </w:pPr>
            <w:r>
              <w:rPr>
                <w:rFonts w:ascii="Arial" w:hAnsi="Arial"/>
                <w:sz w:val="12"/>
              </w:rPr>
              <w:t>Direct product economics</w:t>
            </w:r>
          </w:p>
        </w:tc>
        <w:tc>
          <w:tcPr>
            <w:tcW w:type="dxa" w:w="1728"/>
            <w:tcMar>
              <w:top w:w="55" w:type="dxa"/>
              <w:start w:w="70" w:type="dxa"/>
              <w:bottom w:w="55" w:type="dxa"/>
              <w:end w:w="70" w:type="dxa"/>
            </w:tcMar>
            <w:vAlign w:val="top"/>
          </w:tcPr>
          <w:p>
            <w:pPr>
              <w:spacing w:after="10" w:line="240" w:lineRule="auto"/>
            </w:pPr>
            <w:r>
              <w:rPr>
                <w:rFonts w:ascii="Arial" w:hAnsi="Arial"/>
                <w:sz w:val="12"/>
              </w:rPr>
              <w:t>High: already listed</w:t>
            </w:r>
          </w:p>
        </w:tc>
      </w:tr>
      <w:tr>
        <w:trPr>
          <w:cantSplit/>
        </w:trPr>
        <w:tc>
          <w:tcPr>
            <w:tcW w:type="dxa" w:w="1584"/>
            <w:shd w:fill="F7F7F7"/>
            <w:tcMar>
              <w:top w:w="55" w:type="dxa"/>
              <w:start w:w="70" w:type="dxa"/>
              <w:bottom w:w="55" w:type="dxa"/>
              <w:end w:w="70" w:type="dxa"/>
            </w:tcMar>
            <w:vAlign w:val="top"/>
          </w:tcPr>
          <w:p>
            <w:pPr>
              <w:spacing w:after="10" w:line="240" w:lineRule="auto"/>
            </w:pPr>
            <w:r>
              <w:rPr>
                <w:rFonts w:ascii="Arial" w:hAnsi="Arial"/>
                <w:b/>
                <w:sz w:val="12"/>
              </w:rPr>
              <w:t>Emblaveo</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2"/>
              </w:rPr>
              <w:t>Aztreonam-avibactam</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2"/>
              </w:rPr>
              <w:t>MDR infection</w:t>
            </w:r>
          </w:p>
        </w:tc>
        <w:tc>
          <w:tcPr>
            <w:tcW w:type="dxa" w:w="1512"/>
            <w:shd w:fill="F7F7F7"/>
            <w:tcMar>
              <w:top w:w="55" w:type="dxa"/>
              <w:start w:w="70" w:type="dxa"/>
              <w:bottom w:w="55" w:type="dxa"/>
              <w:end w:w="70" w:type="dxa"/>
            </w:tcMar>
            <w:vAlign w:val="top"/>
          </w:tcPr>
          <w:p>
            <w:pPr>
              <w:spacing w:after="10" w:line="240" w:lineRule="auto"/>
            </w:pPr>
            <w:r>
              <w:rPr>
                <w:rFonts w:ascii="Arial" w:hAnsi="Arial"/>
                <w:sz w:val="12"/>
              </w:rPr>
              <w:t>Approved/launched</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2"/>
              </w:rPr>
              <w:t>Pfizer Limited</w:t>
            </w:r>
          </w:p>
        </w:tc>
        <w:tc>
          <w:tcPr>
            <w:tcW w:type="dxa" w:w="2232"/>
            <w:shd w:fill="F7F7F7"/>
            <w:tcMar>
              <w:top w:w="55" w:type="dxa"/>
              <w:start w:w="70" w:type="dxa"/>
              <w:bottom w:w="55" w:type="dxa"/>
              <w:end w:w="70" w:type="dxa"/>
            </w:tcMar>
            <w:vAlign w:val="top"/>
          </w:tcPr>
          <w:p>
            <w:pPr>
              <w:spacing w:after="10" w:line="240" w:lineRule="auto"/>
            </w:pPr>
            <w:r>
              <w:rPr>
                <w:rFonts w:ascii="Arial" w:hAnsi="Arial"/>
                <w:sz w:val="12"/>
              </w:rPr>
              <w:t>Direct product economics</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2"/>
              </w:rPr>
              <w:t>High: already listed</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2"/>
              </w:rPr>
              <w:t>Palbace</w:t>
            </w:r>
          </w:p>
        </w:tc>
        <w:tc>
          <w:tcPr>
            <w:tcW w:type="dxa" w:w="1440"/>
            <w:tcMar>
              <w:top w:w="55" w:type="dxa"/>
              <w:start w:w="70" w:type="dxa"/>
              <w:bottom w:w="55" w:type="dxa"/>
              <w:end w:w="70" w:type="dxa"/>
            </w:tcMar>
            <w:vAlign w:val="top"/>
          </w:tcPr>
          <w:p>
            <w:pPr>
              <w:spacing w:after="10" w:line="240" w:lineRule="auto"/>
            </w:pPr>
            <w:r>
              <w:rPr>
                <w:rFonts w:ascii="Arial" w:hAnsi="Arial"/>
                <w:sz w:val="12"/>
              </w:rPr>
              <w:t>Palbociclib</w:t>
            </w:r>
          </w:p>
        </w:tc>
        <w:tc>
          <w:tcPr>
            <w:tcW w:type="dxa" w:w="1728"/>
            <w:tcMar>
              <w:top w:w="55" w:type="dxa"/>
              <w:start w:w="70" w:type="dxa"/>
              <w:bottom w:w="55" w:type="dxa"/>
              <w:end w:w="70" w:type="dxa"/>
            </w:tcMar>
            <w:vAlign w:val="top"/>
          </w:tcPr>
          <w:p>
            <w:pPr>
              <w:spacing w:after="10" w:line="240" w:lineRule="auto"/>
            </w:pPr>
            <w:r>
              <w:rPr>
                <w:rFonts w:ascii="Arial" w:hAnsi="Arial"/>
                <w:sz w:val="12"/>
              </w:rPr>
              <w:t>HR+/HER2- breast cancer</w:t>
            </w:r>
          </w:p>
        </w:tc>
        <w:tc>
          <w:tcPr>
            <w:tcW w:type="dxa" w:w="1512"/>
            <w:tcMar>
              <w:top w:w="55" w:type="dxa"/>
              <w:start w:w="70" w:type="dxa"/>
              <w:bottom w:w="55" w:type="dxa"/>
              <w:end w:w="70" w:type="dxa"/>
            </w:tcMar>
            <w:vAlign w:val="top"/>
          </w:tcPr>
          <w:p>
            <w:pPr>
              <w:spacing w:after="10" w:line="240" w:lineRule="auto"/>
            </w:pPr>
            <w:r>
              <w:rPr>
                <w:rFonts w:ascii="Arial" w:hAnsi="Arial"/>
                <w:sz w:val="12"/>
              </w:rPr>
              <w:t>Approved/marketed</w:t>
            </w:r>
          </w:p>
        </w:tc>
        <w:tc>
          <w:tcPr>
            <w:tcW w:type="dxa" w:w="1872"/>
            <w:tcMar>
              <w:top w:w="55" w:type="dxa"/>
              <w:start w:w="70" w:type="dxa"/>
              <w:bottom w:w="55" w:type="dxa"/>
              <w:end w:w="70" w:type="dxa"/>
            </w:tcMar>
            <w:vAlign w:val="top"/>
          </w:tcPr>
          <w:p>
            <w:pPr>
              <w:spacing w:after="10" w:line="240" w:lineRule="auto"/>
            </w:pPr>
            <w:r>
              <w:rPr>
                <w:rFonts w:ascii="Arial" w:hAnsi="Arial"/>
                <w:sz w:val="12"/>
              </w:rPr>
              <w:t>Pfizer Products India Pvt Ltd</w:t>
            </w:r>
          </w:p>
        </w:tc>
        <w:tc>
          <w:tcPr>
            <w:tcW w:type="dxa" w:w="2232"/>
            <w:tcMar>
              <w:top w:w="55" w:type="dxa"/>
              <w:start w:w="70" w:type="dxa"/>
              <w:bottom w:w="55" w:type="dxa"/>
              <w:end w:w="70" w:type="dxa"/>
            </w:tcMar>
            <w:vAlign w:val="top"/>
          </w:tcPr>
          <w:p>
            <w:pPr>
              <w:spacing w:after="10" w:line="240" w:lineRule="auto"/>
            </w:pPr>
            <w:r>
              <w:rPr>
                <w:rFonts w:ascii="Arial" w:hAnsi="Arial"/>
                <w:sz w:val="12"/>
              </w:rPr>
              <w:t>No product economics shown; service fee only at affiliate level</w:t>
            </w:r>
          </w:p>
        </w:tc>
        <w:tc>
          <w:tcPr>
            <w:tcW w:type="dxa" w:w="1728"/>
            <w:tcMar>
              <w:top w:w="55" w:type="dxa"/>
              <w:start w:w="70" w:type="dxa"/>
              <w:bottom w:w="55" w:type="dxa"/>
              <w:end w:w="70" w:type="dxa"/>
            </w:tcMar>
            <w:vAlign w:val="top"/>
          </w:tcPr>
          <w:p>
            <w:pPr>
              <w:spacing w:after="10" w:line="240" w:lineRule="auto"/>
            </w:pPr>
            <w:r>
              <w:rPr>
                <w:rFonts w:ascii="Arial" w:hAnsi="Arial"/>
                <w:sz w:val="12"/>
              </w:rPr>
              <w:t>Low without transaction</w:t>
            </w:r>
          </w:p>
        </w:tc>
      </w:tr>
      <w:tr>
        <w:trPr>
          <w:cantSplit/>
        </w:trPr>
        <w:tc>
          <w:tcPr>
            <w:tcW w:type="dxa" w:w="1584"/>
            <w:shd w:fill="F7F7F7"/>
            <w:tcMar>
              <w:top w:w="55" w:type="dxa"/>
              <w:start w:w="70" w:type="dxa"/>
              <w:bottom w:w="55" w:type="dxa"/>
              <w:end w:w="70" w:type="dxa"/>
            </w:tcMar>
            <w:vAlign w:val="top"/>
          </w:tcPr>
          <w:p>
            <w:pPr>
              <w:spacing w:after="10" w:line="240" w:lineRule="auto"/>
            </w:pPr>
            <w:r>
              <w:rPr>
                <w:rFonts w:ascii="Arial" w:hAnsi="Arial"/>
                <w:b/>
                <w:sz w:val="12"/>
              </w:rPr>
              <w:t>Inlyta</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2"/>
              </w:rPr>
              <w:t>Axitinib</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2"/>
              </w:rPr>
              <w:t>Renal-cell carcinoma</w:t>
            </w:r>
          </w:p>
        </w:tc>
        <w:tc>
          <w:tcPr>
            <w:tcW w:type="dxa" w:w="1512"/>
            <w:shd w:fill="F7F7F7"/>
            <w:tcMar>
              <w:top w:w="55" w:type="dxa"/>
              <w:start w:w="70" w:type="dxa"/>
              <w:bottom w:w="55" w:type="dxa"/>
              <w:end w:w="70" w:type="dxa"/>
            </w:tcMar>
            <w:vAlign w:val="top"/>
          </w:tcPr>
          <w:p>
            <w:pPr>
              <w:spacing w:after="10" w:line="240" w:lineRule="auto"/>
            </w:pPr>
            <w:r>
              <w:rPr>
                <w:rFonts w:ascii="Arial" w:hAnsi="Arial"/>
                <w:sz w:val="12"/>
              </w:rPr>
              <w:t>Approved/marketed</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2"/>
              </w:rPr>
              <w:t>Pfizer Products India Pvt Ltd</w:t>
            </w:r>
          </w:p>
        </w:tc>
        <w:tc>
          <w:tcPr>
            <w:tcW w:type="dxa" w:w="2232"/>
            <w:shd w:fill="F7F7F7"/>
            <w:tcMar>
              <w:top w:w="55" w:type="dxa"/>
              <w:start w:w="70" w:type="dxa"/>
              <w:bottom w:w="55" w:type="dxa"/>
              <w:end w:w="70" w:type="dxa"/>
            </w:tcMar>
            <w:vAlign w:val="top"/>
          </w:tcPr>
          <w:p>
            <w:pPr>
              <w:spacing w:after="10" w:line="240" w:lineRule="auto"/>
            </w:pPr>
            <w:r>
              <w:rPr>
                <w:rFonts w:ascii="Arial" w:hAnsi="Arial"/>
                <w:sz w:val="12"/>
              </w:rPr>
              <w:t>No product economics shown</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2"/>
              </w:rPr>
              <w:t>Low</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2"/>
              </w:rPr>
              <w:t>Crizalk</w:t>
            </w:r>
          </w:p>
        </w:tc>
        <w:tc>
          <w:tcPr>
            <w:tcW w:type="dxa" w:w="1440"/>
            <w:tcMar>
              <w:top w:w="55" w:type="dxa"/>
              <w:start w:w="70" w:type="dxa"/>
              <w:bottom w:w="55" w:type="dxa"/>
              <w:end w:w="70" w:type="dxa"/>
            </w:tcMar>
            <w:vAlign w:val="top"/>
          </w:tcPr>
          <w:p>
            <w:pPr>
              <w:spacing w:after="10" w:line="240" w:lineRule="auto"/>
            </w:pPr>
            <w:r>
              <w:rPr>
                <w:rFonts w:ascii="Arial" w:hAnsi="Arial"/>
                <w:sz w:val="12"/>
              </w:rPr>
              <w:t>Crizotinib</w:t>
            </w:r>
          </w:p>
        </w:tc>
        <w:tc>
          <w:tcPr>
            <w:tcW w:type="dxa" w:w="1728"/>
            <w:tcMar>
              <w:top w:w="55" w:type="dxa"/>
              <w:start w:w="70" w:type="dxa"/>
              <w:bottom w:w="55" w:type="dxa"/>
              <w:end w:w="70" w:type="dxa"/>
            </w:tcMar>
            <w:vAlign w:val="top"/>
          </w:tcPr>
          <w:p>
            <w:pPr>
              <w:spacing w:after="10" w:line="240" w:lineRule="auto"/>
            </w:pPr>
            <w:r>
              <w:rPr>
                <w:rFonts w:ascii="Arial" w:hAnsi="Arial"/>
                <w:sz w:val="12"/>
              </w:rPr>
              <w:t>ALK/ROS1 cancer</w:t>
            </w:r>
          </w:p>
        </w:tc>
        <w:tc>
          <w:tcPr>
            <w:tcW w:type="dxa" w:w="1512"/>
            <w:tcMar>
              <w:top w:w="55" w:type="dxa"/>
              <w:start w:w="70" w:type="dxa"/>
              <w:bottom w:w="55" w:type="dxa"/>
              <w:end w:w="70" w:type="dxa"/>
            </w:tcMar>
            <w:vAlign w:val="top"/>
          </w:tcPr>
          <w:p>
            <w:pPr>
              <w:spacing w:after="10" w:line="240" w:lineRule="auto"/>
            </w:pPr>
            <w:r>
              <w:rPr>
                <w:rFonts w:ascii="Arial" w:hAnsi="Arial"/>
                <w:sz w:val="12"/>
              </w:rPr>
              <w:t>Approved/marketed</w:t>
            </w:r>
          </w:p>
        </w:tc>
        <w:tc>
          <w:tcPr>
            <w:tcW w:type="dxa" w:w="1872"/>
            <w:tcMar>
              <w:top w:w="55" w:type="dxa"/>
              <w:start w:w="70" w:type="dxa"/>
              <w:bottom w:w="55" w:type="dxa"/>
              <w:end w:w="70" w:type="dxa"/>
            </w:tcMar>
            <w:vAlign w:val="top"/>
          </w:tcPr>
          <w:p>
            <w:pPr>
              <w:spacing w:after="10" w:line="240" w:lineRule="auto"/>
            </w:pPr>
            <w:r>
              <w:rPr>
                <w:rFonts w:ascii="Arial" w:hAnsi="Arial"/>
                <w:sz w:val="12"/>
              </w:rPr>
              <w:t>Pfizer Products India Pvt Ltd</w:t>
            </w:r>
          </w:p>
        </w:tc>
        <w:tc>
          <w:tcPr>
            <w:tcW w:type="dxa" w:w="2232"/>
            <w:tcMar>
              <w:top w:w="55" w:type="dxa"/>
              <w:start w:w="70" w:type="dxa"/>
              <w:bottom w:w="55" w:type="dxa"/>
              <w:end w:w="70" w:type="dxa"/>
            </w:tcMar>
            <w:vAlign w:val="top"/>
          </w:tcPr>
          <w:p>
            <w:pPr>
              <w:spacing w:after="10" w:line="240" w:lineRule="auto"/>
            </w:pPr>
            <w:r>
              <w:rPr>
                <w:rFonts w:ascii="Arial" w:hAnsi="Arial"/>
                <w:sz w:val="12"/>
              </w:rPr>
              <w:t>No product economics shown</w:t>
            </w:r>
          </w:p>
        </w:tc>
        <w:tc>
          <w:tcPr>
            <w:tcW w:type="dxa" w:w="1728"/>
            <w:tcMar>
              <w:top w:w="55" w:type="dxa"/>
              <w:start w:w="70" w:type="dxa"/>
              <w:bottom w:w="55" w:type="dxa"/>
              <w:end w:w="70" w:type="dxa"/>
            </w:tcMar>
            <w:vAlign w:val="top"/>
          </w:tcPr>
          <w:p>
            <w:pPr>
              <w:spacing w:after="10" w:line="240" w:lineRule="auto"/>
            </w:pPr>
            <w:r>
              <w:rPr>
                <w:rFonts w:ascii="Arial" w:hAnsi="Arial"/>
                <w:sz w:val="12"/>
              </w:rPr>
              <w:t>Low</w:t>
            </w:r>
          </w:p>
        </w:tc>
      </w:tr>
      <w:tr>
        <w:trPr>
          <w:cantSplit/>
        </w:trPr>
        <w:tc>
          <w:tcPr>
            <w:tcW w:type="dxa" w:w="1584"/>
            <w:shd w:fill="F7F7F7"/>
            <w:tcMar>
              <w:top w:w="55" w:type="dxa"/>
              <w:start w:w="70" w:type="dxa"/>
              <w:bottom w:w="55" w:type="dxa"/>
              <w:end w:w="70" w:type="dxa"/>
            </w:tcMar>
            <w:vAlign w:val="top"/>
          </w:tcPr>
          <w:p>
            <w:pPr>
              <w:spacing w:after="10" w:line="240" w:lineRule="auto"/>
            </w:pPr>
            <w:r>
              <w:rPr>
                <w:rFonts w:ascii="Arial" w:hAnsi="Arial"/>
                <w:b/>
                <w:sz w:val="12"/>
              </w:rPr>
              <w:t>VFEND / Eraxis</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2"/>
              </w:rPr>
              <w:t>Voriconazole / anidulafungin</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2"/>
              </w:rPr>
              <w:t>Systemic fungal infection</w:t>
            </w:r>
          </w:p>
        </w:tc>
        <w:tc>
          <w:tcPr>
            <w:tcW w:type="dxa" w:w="1512"/>
            <w:shd w:fill="F7F7F7"/>
            <w:tcMar>
              <w:top w:w="55" w:type="dxa"/>
              <w:start w:w="70" w:type="dxa"/>
              <w:bottom w:w="55" w:type="dxa"/>
              <w:end w:w="70" w:type="dxa"/>
            </w:tcMar>
            <w:vAlign w:val="top"/>
          </w:tcPr>
          <w:p>
            <w:pPr>
              <w:spacing w:after="10" w:line="240" w:lineRule="auto"/>
            </w:pPr>
            <w:r>
              <w:rPr>
                <w:rFonts w:ascii="Arial" w:hAnsi="Arial"/>
                <w:sz w:val="12"/>
              </w:rPr>
              <w:t>Approved/marketed</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2"/>
              </w:rPr>
              <w:t>Pfizer Products India Pvt Ltd</w:t>
            </w:r>
          </w:p>
        </w:tc>
        <w:tc>
          <w:tcPr>
            <w:tcW w:type="dxa" w:w="2232"/>
            <w:shd w:fill="F7F7F7"/>
            <w:tcMar>
              <w:top w:w="55" w:type="dxa"/>
              <w:start w:w="70" w:type="dxa"/>
              <w:bottom w:w="55" w:type="dxa"/>
              <w:end w:w="70" w:type="dxa"/>
            </w:tcMar>
            <w:vAlign w:val="top"/>
          </w:tcPr>
          <w:p>
            <w:pPr>
              <w:spacing w:after="10" w:line="240" w:lineRule="auto"/>
            </w:pPr>
            <w:r>
              <w:rPr>
                <w:rFonts w:ascii="Arial" w:hAnsi="Arial"/>
                <w:sz w:val="12"/>
              </w:rPr>
              <w:t>No product economics shown</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2"/>
              </w:rPr>
              <w:t>Low</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2"/>
              </w:rPr>
              <w:t>Xyntha</w:t>
            </w:r>
          </w:p>
        </w:tc>
        <w:tc>
          <w:tcPr>
            <w:tcW w:type="dxa" w:w="1440"/>
            <w:tcMar>
              <w:top w:w="55" w:type="dxa"/>
              <w:start w:w="70" w:type="dxa"/>
              <w:bottom w:w="55" w:type="dxa"/>
              <w:end w:w="70" w:type="dxa"/>
            </w:tcMar>
            <w:vAlign w:val="top"/>
          </w:tcPr>
          <w:p>
            <w:pPr>
              <w:spacing w:after="10" w:line="240" w:lineRule="auto"/>
            </w:pPr>
            <w:r>
              <w:rPr>
                <w:rFonts w:ascii="Arial" w:hAnsi="Arial"/>
                <w:sz w:val="12"/>
              </w:rPr>
              <w:t>Factor VIII</w:t>
            </w:r>
          </w:p>
        </w:tc>
        <w:tc>
          <w:tcPr>
            <w:tcW w:type="dxa" w:w="1728"/>
            <w:tcMar>
              <w:top w:w="55" w:type="dxa"/>
              <w:start w:w="70" w:type="dxa"/>
              <w:bottom w:w="55" w:type="dxa"/>
              <w:end w:w="70" w:type="dxa"/>
            </w:tcMar>
            <w:vAlign w:val="top"/>
          </w:tcPr>
          <w:p>
            <w:pPr>
              <w:spacing w:after="10" w:line="240" w:lineRule="auto"/>
            </w:pPr>
            <w:r>
              <w:rPr>
                <w:rFonts w:ascii="Arial" w:hAnsi="Arial"/>
                <w:sz w:val="12"/>
              </w:rPr>
              <w:t>Haemophilia A</w:t>
            </w:r>
          </w:p>
        </w:tc>
        <w:tc>
          <w:tcPr>
            <w:tcW w:type="dxa" w:w="1512"/>
            <w:tcMar>
              <w:top w:w="55" w:type="dxa"/>
              <w:start w:w="70" w:type="dxa"/>
              <w:bottom w:w="55" w:type="dxa"/>
              <w:end w:w="70" w:type="dxa"/>
            </w:tcMar>
            <w:vAlign w:val="top"/>
          </w:tcPr>
          <w:p>
            <w:pPr>
              <w:spacing w:after="10" w:line="240" w:lineRule="auto"/>
            </w:pPr>
            <w:r>
              <w:rPr>
                <w:rFonts w:ascii="Arial" w:hAnsi="Arial"/>
                <w:sz w:val="12"/>
              </w:rPr>
              <w:t>Approved/marketed</w:t>
            </w:r>
          </w:p>
        </w:tc>
        <w:tc>
          <w:tcPr>
            <w:tcW w:type="dxa" w:w="1872"/>
            <w:tcMar>
              <w:top w:w="55" w:type="dxa"/>
              <w:start w:w="70" w:type="dxa"/>
              <w:bottom w:w="55" w:type="dxa"/>
              <w:end w:w="70" w:type="dxa"/>
            </w:tcMar>
            <w:vAlign w:val="top"/>
          </w:tcPr>
          <w:p>
            <w:pPr>
              <w:spacing w:after="10" w:line="240" w:lineRule="auto"/>
            </w:pPr>
            <w:r>
              <w:rPr>
                <w:rFonts w:ascii="Arial" w:hAnsi="Arial"/>
                <w:sz w:val="12"/>
              </w:rPr>
              <w:t>Pfizer Products India Pvt Ltd</w:t>
            </w:r>
          </w:p>
        </w:tc>
        <w:tc>
          <w:tcPr>
            <w:tcW w:type="dxa" w:w="2232"/>
            <w:tcMar>
              <w:top w:w="55" w:type="dxa"/>
              <w:start w:w="70" w:type="dxa"/>
              <w:bottom w:w="55" w:type="dxa"/>
              <w:end w:w="70" w:type="dxa"/>
            </w:tcMar>
            <w:vAlign w:val="top"/>
          </w:tcPr>
          <w:p>
            <w:pPr>
              <w:spacing w:after="10" w:line="240" w:lineRule="auto"/>
            </w:pPr>
            <w:r>
              <w:rPr>
                <w:rFonts w:ascii="Arial" w:hAnsi="Arial"/>
                <w:sz w:val="12"/>
              </w:rPr>
              <w:t>No product economics shown</w:t>
            </w:r>
          </w:p>
        </w:tc>
        <w:tc>
          <w:tcPr>
            <w:tcW w:type="dxa" w:w="1728"/>
            <w:tcMar>
              <w:top w:w="55" w:type="dxa"/>
              <w:start w:w="70" w:type="dxa"/>
              <w:bottom w:w="55" w:type="dxa"/>
              <w:end w:w="70" w:type="dxa"/>
            </w:tcMar>
            <w:vAlign w:val="top"/>
          </w:tcPr>
          <w:p>
            <w:pPr>
              <w:spacing w:after="10" w:line="240" w:lineRule="auto"/>
            </w:pPr>
            <w:r>
              <w:rPr>
                <w:rFonts w:ascii="Arial" w:hAnsi="Arial"/>
                <w:sz w:val="12"/>
              </w:rPr>
              <w:t>Low</w:t>
            </w:r>
          </w:p>
        </w:tc>
      </w:tr>
      <w:tr>
        <w:trPr>
          <w:cantSplit/>
        </w:trPr>
        <w:tc>
          <w:tcPr>
            <w:tcW w:type="dxa" w:w="1584"/>
            <w:shd w:fill="F7F7F7"/>
            <w:tcMar>
              <w:top w:w="55" w:type="dxa"/>
              <w:start w:w="70" w:type="dxa"/>
              <w:bottom w:w="55" w:type="dxa"/>
              <w:end w:w="70" w:type="dxa"/>
            </w:tcMar>
            <w:vAlign w:val="top"/>
          </w:tcPr>
          <w:p>
            <w:pPr>
              <w:spacing w:after="10" w:line="240" w:lineRule="auto"/>
            </w:pPr>
            <w:r>
              <w:rPr>
                <w:rFonts w:ascii="Arial" w:hAnsi="Arial"/>
                <w:b/>
                <w:sz w:val="12"/>
              </w:rPr>
              <w:t>Solu-Medrol</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2"/>
              </w:rPr>
              <w:t>Methylprednisolone</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2"/>
              </w:rPr>
              <w:t>Inflammatory conditions</w:t>
            </w:r>
          </w:p>
        </w:tc>
        <w:tc>
          <w:tcPr>
            <w:tcW w:type="dxa" w:w="1512"/>
            <w:shd w:fill="F7F7F7"/>
            <w:tcMar>
              <w:top w:w="55" w:type="dxa"/>
              <w:start w:w="70" w:type="dxa"/>
              <w:bottom w:w="55" w:type="dxa"/>
              <w:end w:w="70" w:type="dxa"/>
            </w:tcMar>
            <w:vAlign w:val="top"/>
          </w:tcPr>
          <w:p>
            <w:pPr>
              <w:spacing w:after="10" w:line="240" w:lineRule="auto"/>
            </w:pPr>
            <w:r>
              <w:rPr>
                <w:rFonts w:ascii="Arial" w:hAnsi="Arial"/>
                <w:sz w:val="12"/>
              </w:rPr>
              <w:t>Approved/marketed</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2"/>
              </w:rPr>
              <w:t>Pfizer Products India Pvt Ltd evidence</w:t>
            </w:r>
          </w:p>
        </w:tc>
        <w:tc>
          <w:tcPr>
            <w:tcW w:type="dxa" w:w="2232"/>
            <w:shd w:fill="F7F7F7"/>
            <w:tcMar>
              <w:top w:w="55" w:type="dxa"/>
              <w:start w:w="70" w:type="dxa"/>
              <w:bottom w:w="55" w:type="dxa"/>
              <w:end w:w="70" w:type="dxa"/>
            </w:tcMar>
            <w:vAlign w:val="top"/>
          </w:tcPr>
          <w:p>
            <w:pPr>
              <w:spacing w:after="10" w:line="240" w:lineRule="auto"/>
            </w:pPr>
            <w:r>
              <w:rPr>
                <w:rFonts w:ascii="Arial" w:hAnsi="Arial"/>
                <w:sz w:val="12"/>
              </w:rPr>
              <w:t>No product economics shown</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2"/>
              </w:rPr>
              <w:t>Low</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2"/>
              </w:rPr>
              <w:t>Abrysvo</w:t>
            </w:r>
          </w:p>
        </w:tc>
        <w:tc>
          <w:tcPr>
            <w:tcW w:type="dxa" w:w="1440"/>
            <w:tcMar>
              <w:top w:w="55" w:type="dxa"/>
              <w:start w:w="70" w:type="dxa"/>
              <w:bottom w:w="55" w:type="dxa"/>
              <w:end w:w="70" w:type="dxa"/>
            </w:tcMar>
            <w:vAlign w:val="top"/>
          </w:tcPr>
          <w:p>
            <w:pPr>
              <w:spacing w:after="10" w:line="240" w:lineRule="auto"/>
            </w:pPr>
            <w:r>
              <w:rPr>
                <w:rFonts w:ascii="Arial" w:hAnsi="Arial"/>
                <w:sz w:val="12"/>
              </w:rPr>
              <w:t>RSVpreF</w:t>
            </w:r>
          </w:p>
        </w:tc>
        <w:tc>
          <w:tcPr>
            <w:tcW w:type="dxa" w:w="1728"/>
            <w:tcMar>
              <w:top w:w="55" w:type="dxa"/>
              <w:start w:w="70" w:type="dxa"/>
              <w:bottom w:w="55" w:type="dxa"/>
              <w:end w:w="70" w:type="dxa"/>
            </w:tcMar>
            <w:vAlign w:val="top"/>
          </w:tcPr>
          <w:p>
            <w:pPr>
              <w:spacing w:after="10" w:line="240" w:lineRule="auto"/>
            </w:pPr>
            <w:r>
              <w:rPr>
                <w:rFonts w:ascii="Arial" w:hAnsi="Arial"/>
                <w:sz w:val="12"/>
              </w:rPr>
              <w:t>RSV prevention</w:t>
            </w:r>
          </w:p>
        </w:tc>
        <w:tc>
          <w:tcPr>
            <w:tcW w:type="dxa" w:w="1512"/>
            <w:tcMar>
              <w:top w:w="55" w:type="dxa"/>
              <w:start w:w="70" w:type="dxa"/>
              <w:bottom w:w="55" w:type="dxa"/>
              <w:end w:w="70" w:type="dxa"/>
            </w:tcMar>
            <w:vAlign w:val="top"/>
          </w:tcPr>
          <w:p>
            <w:pPr>
              <w:spacing w:after="10" w:line="240" w:lineRule="auto"/>
            </w:pPr>
            <w:r>
              <w:rPr>
                <w:rFonts w:ascii="Arial" w:hAnsi="Arial"/>
                <w:sz w:val="12"/>
              </w:rPr>
              <w:t>India Phase 3 recruiting; approval N/V</w:t>
            </w:r>
          </w:p>
        </w:tc>
        <w:tc>
          <w:tcPr>
            <w:tcW w:type="dxa" w:w="1872"/>
            <w:tcMar>
              <w:top w:w="55" w:type="dxa"/>
              <w:start w:w="70" w:type="dxa"/>
              <w:bottom w:w="55" w:type="dxa"/>
              <w:end w:w="70" w:type="dxa"/>
            </w:tcMar>
            <w:vAlign w:val="top"/>
          </w:tcPr>
          <w:p>
            <w:pPr>
              <w:spacing w:after="10" w:line="240" w:lineRule="auto"/>
            </w:pPr>
            <w:r>
              <w:rPr>
                <w:rFonts w:ascii="Arial" w:hAnsi="Arial"/>
                <w:sz w:val="12"/>
              </w:rPr>
              <w:t>Not established</w:t>
            </w:r>
          </w:p>
        </w:tc>
        <w:tc>
          <w:tcPr>
            <w:tcW w:type="dxa" w:w="2232"/>
            <w:tcMar>
              <w:top w:w="55" w:type="dxa"/>
              <w:start w:w="70" w:type="dxa"/>
              <w:bottom w:w="55" w:type="dxa"/>
              <w:end w:w="70" w:type="dxa"/>
            </w:tcMar>
            <w:vAlign w:val="top"/>
          </w:tcPr>
          <w:p>
            <w:pPr>
              <w:spacing w:after="10" w:line="240" w:lineRule="auto"/>
            </w:pPr>
            <w:r>
              <w:rPr>
                <w:rFonts w:ascii="Arial" w:hAnsi="Arial"/>
                <w:sz w:val="12"/>
              </w:rPr>
              <w:t>None today</w:t>
            </w:r>
          </w:p>
        </w:tc>
        <w:tc>
          <w:tcPr>
            <w:tcW w:type="dxa" w:w="1728"/>
            <w:tcMar>
              <w:top w:w="55" w:type="dxa"/>
              <w:start w:w="70" w:type="dxa"/>
              <w:bottom w:w="55" w:type="dxa"/>
              <w:end w:w="70" w:type="dxa"/>
            </w:tcMar>
            <w:vAlign w:val="top"/>
          </w:tcPr>
          <w:p>
            <w:pPr>
              <w:spacing w:after="10" w:line="240" w:lineRule="auto"/>
            </w:pPr>
            <w:r>
              <w:rPr>
                <w:rFonts w:ascii="Arial" w:hAnsi="Arial"/>
                <w:sz w:val="12"/>
              </w:rPr>
              <w:t>Plausible; vaccine fit</w:t>
            </w:r>
          </w:p>
        </w:tc>
      </w:tr>
      <w:tr>
        <w:trPr>
          <w:cantSplit/>
        </w:trPr>
        <w:tc>
          <w:tcPr>
            <w:tcW w:type="dxa" w:w="1584"/>
            <w:shd w:fill="F7F7F7"/>
            <w:tcMar>
              <w:top w:w="55" w:type="dxa"/>
              <w:start w:w="70" w:type="dxa"/>
              <w:bottom w:w="55" w:type="dxa"/>
              <w:end w:w="70" w:type="dxa"/>
            </w:tcMar>
            <w:vAlign w:val="top"/>
          </w:tcPr>
          <w:p>
            <w:pPr>
              <w:spacing w:after="10" w:line="240" w:lineRule="auto"/>
            </w:pPr>
            <w:r>
              <w:rPr>
                <w:rFonts w:ascii="Arial" w:hAnsi="Arial"/>
                <w:b/>
                <w:sz w:val="12"/>
              </w:rPr>
              <w:t>Etrasimod</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2"/>
              </w:rPr>
              <w:t>Velsipity</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2"/>
              </w:rPr>
              <w:t>Ulcerative colitis</w:t>
            </w:r>
          </w:p>
        </w:tc>
        <w:tc>
          <w:tcPr>
            <w:tcW w:type="dxa" w:w="1512"/>
            <w:shd w:fill="F7F7F7"/>
            <w:tcMar>
              <w:top w:w="55" w:type="dxa"/>
              <w:start w:w="70" w:type="dxa"/>
              <w:bottom w:w="55" w:type="dxa"/>
              <w:end w:w="70" w:type="dxa"/>
            </w:tcMar>
            <w:vAlign w:val="top"/>
          </w:tcPr>
          <w:p>
            <w:pPr>
              <w:spacing w:after="10" w:line="240" w:lineRule="auto"/>
            </w:pPr>
            <w:r>
              <w:rPr>
                <w:rFonts w:ascii="Arial" w:hAnsi="Arial"/>
                <w:sz w:val="12"/>
              </w:rPr>
              <w:t>India trial; approval N/V</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2"/>
              </w:rPr>
              <w:t>Not established</w:t>
            </w:r>
          </w:p>
        </w:tc>
        <w:tc>
          <w:tcPr>
            <w:tcW w:type="dxa" w:w="2232"/>
            <w:shd w:fill="F7F7F7"/>
            <w:tcMar>
              <w:top w:w="55" w:type="dxa"/>
              <w:start w:w="70" w:type="dxa"/>
              <w:bottom w:w="55" w:type="dxa"/>
              <w:end w:w="70" w:type="dxa"/>
            </w:tcMar>
            <w:vAlign w:val="top"/>
          </w:tcPr>
          <w:p>
            <w:pPr>
              <w:spacing w:after="10" w:line="240" w:lineRule="auto"/>
            </w:pPr>
            <w:r>
              <w:rPr>
                <w:rFonts w:ascii="Arial" w:hAnsi="Arial"/>
                <w:sz w:val="12"/>
              </w:rPr>
              <w:t>None today</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2"/>
              </w:rPr>
              <w:t>Plausible but unconfirmed</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2"/>
              </w:rPr>
              <w:t>Marstacimab</w:t>
            </w:r>
          </w:p>
        </w:tc>
        <w:tc>
          <w:tcPr>
            <w:tcW w:type="dxa" w:w="1440"/>
            <w:tcMar>
              <w:top w:w="55" w:type="dxa"/>
              <w:start w:w="70" w:type="dxa"/>
              <w:bottom w:w="55" w:type="dxa"/>
              <w:end w:w="70" w:type="dxa"/>
            </w:tcMar>
            <w:vAlign w:val="top"/>
          </w:tcPr>
          <w:p>
            <w:pPr>
              <w:spacing w:after="10" w:line="240" w:lineRule="auto"/>
            </w:pPr>
            <w:r>
              <w:rPr>
                <w:rFonts w:ascii="Arial" w:hAnsi="Arial"/>
                <w:sz w:val="12"/>
              </w:rPr>
              <w:t>Hympavzi</w:t>
            </w:r>
          </w:p>
        </w:tc>
        <w:tc>
          <w:tcPr>
            <w:tcW w:type="dxa" w:w="1728"/>
            <w:tcMar>
              <w:top w:w="55" w:type="dxa"/>
              <w:start w:w="70" w:type="dxa"/>
              <w:bottom w:w="55" w:type="dxa"/>
              <w:end w:w="70" w:type="dxa"/>
            </w:tcMar>
            <w:vAlign w:val="top"/>
          </w:tcPr>
          <w:p>
            <w:pPr>
              <w:spacing w:after="10" w:line="240" w:lineRule="auto"/>
            </w:pPr>
            <w:r>
              <w:rPr>
                <w:rFonts w:ascii="Arial" w:hAnsi="Arial"/>
                <w:sz w:val="12"/>
              </w:rPr>
              <w:t>Haemophilia</w:t>
            </w:r>
          </w:p>
        </w:tc>
        <w:tc>
          <w:tcPr>
            <w:tcW w:type="dxa" w:w="1512"/>
            <w:tcMar>
              <w:top w:w="55" w:type="dxa"/>
              <w:start w:w="70" w:type="dxa"/>
              <w:bottom w:w="55" w:type="dxa"/>
              <w:end w:w="70" w:type="dxa"/>
            </w:tcMar>
            <w:vAlign w:val="top"/>
          </w:tcPr>
          <w:p>
            <w:pPr>
              <w:spacing w:after="10" w:line="240" w:lineRule="auto"/>
            </w:pPr>
            <w:r>
              <w:rPr>
                <w:rFonts w:ascii="Arial" w:hAnsi="Arial"/>
                <w:sz w:val="12"/>
              </w:rPr>
              <w:t>India trial; approval N/V</w:t>
            </w:r>
          </w:p>
        </w:tc>
        <w:tc>
          <w:tcPr>
            <w:tcW w:type="dxa" w:w="1872"/>
            <w:tcMar>
              <w:top w:w="55" w:type="dxa"/>
              <w:start w:w="70" w:type="dxa"/>
              <w:bottom w:w="55" w:type="dxa"/>
              <w:end w:w="70" w:type="dxa"/>
            </w:tcMar>
            <w:vAlign w:val="top"/>
          </w:tcPr>
          <w:p>
            <w:pPr>
              <w:spacing w:after="10" w:line="240" w:lineRule="auto"/>
            </w:pPr>
            <w:r>
              <w:rPr>
                <w:rFonts w:ascii="Arial" w:hAnsi="Arial"/>
                <w:sz w:val="12"/>
              </w:rPr>
              <w:t>Not established</w:t>
            </w:r>
          </w:p>
        </w:tc>
        <w:tc>
          <w:tcPr>
            <w:tcW w:type="dxa" w:w="2232"/>
            <w:tcMar>
              <w:top w:w="55" w:type="dxa"/>
              <w:start w:w="70" w:type="dxa"/>
              <w:bottom w:w="55" w:type="dxa"/>
              <w:end w:w="70" w:type="dxa"/>
            </w:tcMar>
            <w:vAlign w:val="top"/>
          </w:tcPr>
          <w:p>
            <w:pPr>
              <w:spacing w:after="10" w:line="240" w:lineRule="auto"/>
            </w:pPr>
            <w:r>
              <w:rPr>
                <w:rFonts w:ascii="Arial" w:hAnsi="Arial"/>
                <w:sz w:val="12"/>
              </w:rPr>
              <w:t>None today</w:t>
            </w:r>
          </w:p>
        </w:tc>
        <w:tc>
          <w:tcPr>
            <w:tcW w:type="dxa" w:w="1728"/>
            <w:tcMar>
              <w:top w:w="55" w:type="dxa"/>
              <w:start w:w="70" w:type="dxa"/>
              <w:bottom w:w="55" w:type="dxa"/>
              <w:end w:w="70" w:type="dxa"/>
            </w:tcMar>
            <w:vAlign w:val="top"/>
          </w:tcPr>
          <w:p>
            <w:pPr>
              <w:spacing w:after="10" w:line="240" w:lineRule="auto"/>
            </w:pPr>
            <w:r>
              <w:rPr>
                <w:rFonts w:ascii="Arial" w:hAnsi="Arial"/>
                <w:sz w:val="12"/>
              </w:rPr>
              <w:t>Low: rare-disease private precedent</w:t>
            </w:r>
          </w:p>
        </w:tc>
      </w:tr>
      <w:tr>
        <w:trPr>
          <w:cantSplit/>
        </w:trPr>
        <w:tc>
          <w:tcPr>
            <w:tcW w:type="dxa" w:w="1584"/>
            <w:shd w:fill="F7F7F7"/>
            <w:tcMar>
              <w:top w:w="55" w:type="dxa"/>
              <w:start w:w="70" w:type="dxa"/>
              <w:bottom w:w="55" w:type="dxa"/>
              <w:end w:w="70" w:type="dxa"/>
            </w:tcMar>
            <w:vAlign w:val="top"/>
          </w:tcPr>
          <w:p>
            <w:pPr>
              <w:spacing w:after="10" w:line="240" w:lineRule="auto"/>
            </w:pPr>
            <w:r>
              <w:rPr>
                <w:rFonts w:ascii="Arial" w:hAnsi="Arial"/>
                <w:b/>
                <w:sz w:val="12"/>
              </w:rPr>
              <w:t>Talazoparib/lorlatinib/next-gen ADCs</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2"/>
              </w:rPr>
              <w:t>Multiple</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2"/>
              </w:rPr>
              <w:t>Oncology</w:t>
            </w:r>
          </w:p>
        </w:tc>
        <w:tc>
          <w:tcPr>
            <w:tcW w:type="dxa" w:w="1512"/>
            <w:shd w:fill="F7F7F7"/>
            <w:tcMar>
              <w:top w:w="55" w:type="dxa"/>
              <w:start w:w="70" w:type="dxa"/>
              <w:bottom w:w="55" w:type="dxa"/>
              <w:end w:w="70" w:type="dxa"/>
            </w:tcMar>
            <w:vAlign w:val="top"/>
          </w:tcPr>
          <w:p>
            <w:pPr>
              <w:spacing w:after="10" w:line="240" w:lineRule="auto"/>
            </w:pPr>
            <w:r>
              <w:rPr>
                <w:rFonts w:ascii="Arial" w:hAnsi="Arial"/>
                <w:sz w:val="12"/>
              </w:rPr>
              <w:t>Trials/global approvals vary</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2"/>
              </w:rPr>
              <w:t>Not established</w:t>
            </w:r>
          </w:p>
        </w:tc>
        <w:tc>
          <w:tcPr>
            <w:tcW w:type="dxa" w:w="2232"/>
            <w:shd w:fill="F7F7F7"/>
            <w:tcMar>
              <w:top w:w="55" w:type="dxa"/>
              <w:start w:w="70" w:type="dxa"/>
              <w:bottom w:w="55" w:type="dxa"/>
              <w:end w:w="70" w:type="dxa"/>
            </w:tcMar>
            <w:vAlign w:val="top"/>
          </w:tcPr>
          <w:p>
            <w:pPr>
              <w:spacing w:after="10" w:line="240" w:lineRule="auto"/>
            </w:pPr>
            <w:r>
              <w:rPr>
                <w:rFonts w:ascii="Arial" w:hAnsi="Arial"/>
                <w:sz w:val="12"/>
              </w:rPr>
              <w:t>None today</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2"/>
              </w:rPr>
              <w:t>Low: oncology private precedent</w:t>
            </w:r>
          </w:p>
        </w:tc>
      </w:tr>
    </w:tbl>
    <w:p>
      <w:pPr>
        <w:pStyle w:val="ExhibitTitle"/>
      </w:pPr>
      <w:r>
        <w:t>Exhibit 5. Official labels show that a material Pfizer portfolio sits outside the listed company</w:t>
      </w:r>
    </w:p>
    <w:p>
      <w:r>
        <w:rPr>
          <w:color w:val="59636E"/>
          <w:sz w:val="15"/>
        </w:rPr>
        <w:t>The private-entity issue is factual, not hypothetical. The unanswered question is the economic size because private-company product revenue is not publicly disclosed.</w:t>
      </w:r>
    </w:p>
    <w:p>
      <w:pPr>
        <w:pStyle w:val="Source"/>
      </w:pPr>
      <w:r>
        <w:t>Source: Listed products [S1, S4]. PPIPL official labels [S9-S15]. ClinicalTrials.gov [S17]. N/V means not independently verified.</w:t>
      </w:r>
    </w:p>
    <w:p>
      <w:pPr>
        <w:pStyle w:val="Heading2"/>
      </w:pPr>
      <w:r>
        <w:t>What the controversy means economically</w:t>
      </w:r>
    </w:p>
    <w:p>
      <w:r>
        <w:t>The strongest evidence of separate economics is not corporate naming. It is the manufacturer/importer/marketer identity on official product labels, combined with the listed company’s related-party note. PPIPL is a fellow subsidiary, not a listed-company subsidiary. FY26 service income from PPIPL was ₹42.68 crore. That fee does not establish ownership of PPIPL product gross profit. [S1, related-party note; S9-S15]</w:t>
      </w:r>
    </w:p>
    <w:p>
      <w:r>
        <w:t>No annual report, exchange filing or publicly accessible AGM record reviewed disclosed a right of first refusal, automatic allocation formula or parent commitment for future products. No evidence was found that the listed board can compel Pfizer Inc. to transfer a private-affiliate product. This absence is the central governance fact.</w:t>
      </w:r>
    </w:p>
    <w:p>
      <w:r>
        <w:t>Historical precedent cuts both ways. Wyeth was merged into the listed company, adding vaccines and women’s health. More recently, Upjohn brands were moved out to Mylan, Minipress was discontinued following a parent manufacturing decision, and new listed launches were selective. The parent appears to allocate by strategic fit and global transaction structure, not by a standing minority-shareholder principle.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00"/>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Asset/category</w:t>
            </w:r>
          </w:p>
        </w:tc>
        <w:tc>
          <w:tcPr>
            <w:tcW w:type="dxa" w:w="2304"/>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Strategic fit</w:t>
            </w:r>
          </w:p>
        </w:tc>
        <w:tc>
          <w:tcPr>
            <w:tcW w:type="dxa" w:w="2880"/>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Infrastructure/regulatory constraint</w:t>
            </w:r>
          </w:p>
        </w:tc>
        <w:tc>
          <w:tcPr>
            <w:tcW w:type="dxa" w:w="1728"/>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Parent incentive</w:t>
            </w:r>
          </w:p>
        </w:tc>
        <w:tc>
          <w:tcPr>
            <w:tcW w:type="dxa" w:w="2088"/>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Assessment</w:t>
            </w:r>
          </w:p>
        </w:tc>
      </w:tr>
      <w:tr>
        <w:trPr>
          <w:cantSplit/>
        </w:trPr>
        <w:tc>
          <w:tcPr>
            <w:tcW w:type="dxa" w:w="1800"/>
            <w:tcMar>
              <w:top w:w="55" w:type="dxa"/>
              <w:start w:w="70" w:type="dxa"/>
              <w:bottom w:w="55" w:type="dxa"/>
              <w:end w:w="70" w:type="dxa"/>
            </w:tcMar>
            <w:vAlign w:val="top"/>
          </w:tcPr>
          <w:p>
            <w:pPr>
              <w:spacing w:after="10" w:line="240" w:lineRule="auto"/>
            </w:pPr>
            <w:r>
              <w:rPr>
                <w:rFonts w:ascii="Arial" w:hAnsi="Arial"/>
                <w:b/>
                <w:sz w:val="13"/>
              </w:rPr>
              <w:t>Abrysvo</w:t>
            </w:r>
          </w:p>
        </w:tc>
        <w:tc>
          <w:tcPr>
            <w:tcW w:type="dxa" w:w="2304"/>
            <w:tcMar>
              <w:top w:w="55" w:type="dxa"/>
              <w:start w:w="70" w:type="dxa"/>
              <w:bottom w:w="55" w:type="dxa"/>
              <w:end w:w="70" w:type="dxa"/>
            </w:tcMar>
            <w:vAlign w:val="top"/>
          </w:tcPr>
          <w:p>
            <w:pPr>
              <w:spacing w:after="10" w:line="240" w:lineRule="auto"/>
            </w:pPr>
            <w:r>
              <w:rPr>
                <w:rFonts w:ascii="Arial" w:hAnsi="Arial"/>
                <w:sz w:val="13"/>
              </w:rPr>
              <w:t>High vaccine fit; same cold-chain/HCP base</w:t>
            </w:r>
          </w:p>
        </w:tc>
        <w:tc>
          <w:tcPr>
            <w:tcW w:type="dxa" w:w="2880"/>
            <w:tcMar>
              <w:top w:w="55" w:type="dxa"/>
              <w:start w:w="70" w:type="dxa"/>
              <w:bottom w:w="55" w:type="dxa"/>
              <w:end w:w="70" w:type="dxa"/>
            </w:tcMar>
            <w:vAlign w:val="top"/>
          </w:tcPr>
          <w:p>
            <w:pPr>
              <w:spacing w:after="10" w:line="240" w:lineRule="auto"/>
            </w:pPr>
            <w:r>
              <w:rPr>
                <w:rFonts w:ascii="Arial" w:hAnsi="Arial"/>
                <w:sz w:val="13"/>
              </w:rPr>
              <w:t>Requires approval and supply allocation</w:t>
            </w:r>
          </w:p>
        </w:tc>
        <w:tc>
          <w:tcPr>
            <w:tcW w:type="dxa" w:w="1728"/>
            <w:tcMar>
              <w:top w:w="55" w:type="dxa"/>
              <w:start w:w="70" w:type="dxa"/>
              <w:bottom w:w="55" w:type="dxa"/>
              <w:end w:w="70" w:type="dxa"/>
            </w:tcMar>
            <w:vAlign w:val="top"/>
          </w:tcPr>
          <w:p>
            <w:pPr>
              <w:spacing w:after="10" w:line="240" w:lineRule="auto"/>
            </w:pPr>
            <w:r>
              <w:rPr>
                <w:rFonts w:ascii="Arial" w:hAnsi="Arial"/>
                <w:sz w:val="13"/>
              </w:rPr>
              <w:t>High within candidate set</w:t>
            </w:r>
          </w:p>
        </w:tc>
        <w:tc>
          <w:tcPr>
            <w:tcW w:type="dxa" w:w="2088"/>
            <w:tcMar>
              <w:top w:w="55" w:type="dxa"/>
              <w:start w:w="70" w:type="dxa"/>
              <w:bottom w:w="55" w:type="dxa"/>
              <w:end w:w="70" w:type="dxa"/>
            </w:tcMar>
            <w:vAlign w:val="top"/>
          </w:tcPr>
          <w:p>
            <w:pPr>
              <w:spacing w:after="10" w:line="240" w:lineRule="auto"/>
            </w:pPr>
            <w:r>
              <w:rPr>
                <w:rFonts w:ascii="Arial" w:hAnsi="Arial"/>
                <w:sz w:val="13"/>
              </w:rPr>
              <w:t>Plausible, unconfirmed</w:t>
            </w:r>
          </w:p>
        </w:tc>
      </w:tr>
      <w:tr>
        <w:trPr>
          <w:cantSplit/>
        </w:trPr>
        <w:tc>
          <w:tcPr>
            <w:tcW w:type="dxa" w:w="1800"/>
            <w:shd w:fill="F7F7F7"/>
            <w:tcMar>
              <w:top w:w="55" w:type="dxa"/>
              <w:start w:w="70" w:type="dxa"/>
              <w:bottom w:w="55" w:type="dxa"/>
              <w:end w:w="70" w:type="dxa"/>
            </w:tcMar>
            <w:vAlign w:val="top"/>
          </w:tcPr>
          <w:p>
            <w:pPr>
              <w:spacing w:after="10" w:line="240" w:lineRule="auto"/>
            </w:pPr>
            <w:r>
              <w:rPr>
                <w:rFonts w:ascii="Arial" w:hAnsi="Arial"/>
                <w:b/>
                <w:sz w:val="13"/>
              </w:rPr>
              <w:t>Etrasimod/Velsipity</w:t>
            </w:r>
          </w:p>
        </w:tc>
        <w:tc>
          <w:tcPr>
            <w:tcW w:type="dxa" w:w="2304"/>
            <w:shd w:fill="F7F7F7"/>
            <w:tcMar>
              <w:top w:w="55" w:type="dxa"/>
              <w:start w:w="70" w:type="dxa"/>
              <w:bottom w:w="55" w:type="dxa"/>
              <w:end w:w="70" w:type="dxa"/>
            </w:tcMar>
            <w:vAlign w:val="top"/>
          </w:tcPr>
          <w:p>
            <w:pPr>
              <w:spacing w:after="10" w:line="240" w:lineRule="auto"/>
            </w:pPr>
            <w:r>
              <w:rPr>
                <w:rFonts w:ascii="Arial" w:hAnsi="Arial"/>
                <w:sz w:val="13"/>
              </w:rPr>
              <w:t>Fits I&amp;I franchise</w:t>
            </w:r>
          </w:p>
        </w:tc>
        <w:tc>
          <w:tcPr>
            <w:tcW w:type="dxa" w:w="2880"/>
            <w:shd w:fill="F7F7F7"/>
            <w:tcMar>
              <w:top w:w="55" w:type="dxa"/>
              <w:start w:w="70" w:type="dxa"/>
              <w:bottom w:w="55" w:type="dxa"/>
              <w:end w:w="70" w:type="dxa"/>
            </w:tcMar>
            <w:vAlign w:val="top"/>
          </w:tcPr>
          <w:p>
            <w:pPr>
              <w:spacing w:after="10" w:line="240" w:lineRule="auto"/>
            </w:pPr>
            <w:r>
              <w:rPr>
                <w:rFonts w:ascii="Arial" w:hAnsi="Arial"/>
                <w:sz w:val="13"/>
              </w:rPr>
              <w:t>Specialist field force exists but product allocation unknown</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3"/>
              </w:rPr>
              <w:t>Medium</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3"/>
              </w:rPr>
              <w:t>Plausible, unconfirmed</w:t>
            </w:r>
          </w:p>
        </w:tc>
      </w:tr>
      <w:tr>
        <w:trPr>
          <w:cantSplit/>
        </w:trPr>
        <w:tc>
          <w:tcPr>
            <w:tcW w:type="dxa" w:w="1800"/>
            <w:tcMar>
              <w:top w:w="55" w:type="dxa"/>
              <w:start w:w="70" w:type="dxa"/>
              <w:bottom w:w="55" w:type="dxa"/>
              <w:end w:w="70" w:type="dxa"/>
            </w:tcMar>
            <w:vAlign w:val="top"/>
          </w:tcPr>
          <w:p>
            <w:pPr>
              <w:spacing w:after="10" w:line="240" w:lineRule="auto"/>
            </w:pPr>
            <w:r>
              <w:rPr>
                <w:rFonts w:ascii="Arial" w:hAnsi="Arial"/>
                <w:b/>
                <w:sz w:val="13"/>
              </w:rPr>
              <w:t>Marstacimab/Hympavzi</w:t>
            </w:r>
          </w:p>
        </w:tc>
        <w:tc>
          <w:tcPr>
            <w:tcW w:type="dxa" w:w="2304"/>
            <w:tcMar>
              <w:top w:w="55" w:type="dxa"/>
              <w:start w:w="70" w:type="dxa"/>
              <w:bottom w:w="55" w:type="dxa"/>
              <w:end w:w="70" w:type="dxa"/>
            </w:tcMar>
            <w:vAlign w:val="top"/>
          </w:tcPr>
          <w:p>
            <w:pPr>
              <w:spacing w:after="10" w:line="240" w:lineRule="auto"/>
            </w:pPr>
            <w:r>
              <w:rPr>
                <w:rFonts w:ascii="Arial" w:hAnsi="Arial"/>
                <w:sz w:val="13"/>
              </w:rPr>
              <w:t>Limited overlap</w:t>
            </w:r>
          </w:p>
        </w:tc>
        <w:tc>
          <w:tcPr>
            <w:tcW w:type="dxa" w:w="2880"/>
            <w:tcMar>
              <w:top w:w="55" w:type="dxa"/>
              <w:start w:w="70" w:type="dxa"/>
              <w:bottom w:w="55" w:type="dxa"/>
              <w:end w:w="70" w:type="dxa"/>
            </w:tcMar>
            <w:vAlign w:val="top"/>
          </w:tcPr>
          <w:p>
            <w:pPr>
              <w:spacing w:after="10" w:line="240" w:lineRule="auto"/>
            </w:pPr>
            <w:r>
              <w:rPr>
                <w:rFonts w:ascii="Arial" w:hAnsi="Arial"/>
                <w:sz w:val="13"/>
              </w:rPr>
              <w:t>Rare-disease infrastructure appears private</w:t>
            </w:r>
          </w:p>
        </w:tc>
        <w:tc>
          <w:tcPr>
            <w:tcW w:type="dxa" w:w="1728"/>
            <w:tcMar>
              <w:top w:w="55" w:type="dxa"/>
              <w:start w:w="70" w:type="dxa"/>
              <w:bottom w:w="55" w:type="dxa"/>
              <w:end w:w="70" w:type="dxa"/>
            </w:tcMar>
            <w:vAlign w:val="top"/>
          </w:tcPr>
          <w:p>
            <w:pPr>
              <w:spacing w:after="10" w:line="240" w:lineRule="auto"/>
            </w:pPr>
            <w:r>
              <w:rPr>
                <w:rFonts w:ascii="Arial" w:hAnsi="Arial"/>
                <w:sz w:val="13"/>
              </w:rPr>
              <w:t>Low</w:t>
            </w:r>
          </w:p>
        </w:tc>
        <w:tc>
          <w:tcPr>
            <w:tcW w:type="dxa" w:w="2088"/>
            <w:tcMar>
              <w:top w:w="55" w:type="dxa"/>
              <w:start w:w="70" w:type="dxa"/>
              <w:bottom w:w="55" w:type="dxa"/>
              <w:end w:w="70" w:type="dxa"/>
            </w:tcMar>
            <w:vAlign w:val="top"/>
          </w:tcPr>
          <w:p>
            <w:pPr>
              <w:spacing w:after="10" w:line="240" w:lineRule="auto"/>
            </w:pPr>
            <w:r>
              <w:rPr>
                <w:rFonts w:ascii="Arial" w:hAnsi="Arial"/>
                <w:sz w:val="13"/>
              </w:rPr>
              <w:t>Low probability</w:t>
            </w:r>
          </w:p>
        </w:tc>
      </w:tr>
      <w:tr>
        <w:trPr>
          <w:cantSplit/>
        </w:trPr>
        <w:tc>
          <w:tcPr>
            <w:tcW w:type="dxa" w:w="1800"/>
            <w:shd w:fill="F7F7F7"/>
            <w:tcMar>
              <w:top w:w="55" w:type="dxa"/>
              <w:start w:w="70" w:type="dxa"/>
              <w:bottom w:w="55" w:type="dxa"/>
              <w:end w:w="70" w:type="dxa"/>
            </w:tcMar>
            <w:vAlign w:val="top"/>
          </w:tcPr>
          <w:p>
            <w:pPr>
              <w:spacing w:after="10" w:line="240" w:lineRule="auto"/>
            </w:pPr>
            <w:r>
              <w:rPr>
                <w:rFonts w:ascii="Arial" w:hAnsi="Arial"/>
                <w:b/>
                <w:sz w:val="13"/>
              </w:rPr>
              <w:t>Palbace/Inlyta/Crizalk</w:t>
            </w:r>
          </w:p>
        </w:tc>
        <w:tc>
          <w:tcPr>
            <w:tcW w:type="dxa" w:w="2304"/>
            <w:shd w:fill="F7F7F7"/>
            <w:tcMar>
              <w:top w:w="55" w:type="dxa"/>
              <w:start w:w="70" w:type="dxa"/>
              <w:bottom w:w="55" w:type="dxa"/>
              <w:end w:w="70" w:type="dxa"/>
            </w:tcMar>
            <w:vAlign w:val="top"/>
          </w:tcPr>
          <w:p>
            <w:pPr>
              <w:spacing w:after="10" w:line="240" w:lineRule="auto"/>
            </w:pPr>
            <w:r>
              <w:rPr>
                <w:rFonts w:ascii="Arial" w:hAnsi="Arial"/>
                <w:sz w:val="13"/>
              </w:rPr>
              <w:t>Commercially established outside listed entity</w:t>
            </w:r>
          </w:p>
        </w:tc>
        <w:tc>
          <w:tcPr>
            <w:tcW w:type="dxa" w:w="2880"/>
            <w:shd w:fill="F7F7F7"/>
            <w:tcMar>
              <w:top w:w="55" w:type="dxa"/>
              <w:start w:w="70" w:type="dxa"/>
              <w:bottom w:w="55" w:type="dxa"/>
              <w:end w:w="70" w:type="dxa"/>
            </w:tcMar>
            <w:vAlign w:val="top"/>
          </w:tcPr>
          <w:p>
            <w:pPr>
              <w:spacing w:after="10" w:line="240" w:lineRule="auto"/>
            </w:pPr>
            <w:r>
              <w:rPr>
                <w:rFonts w:ascii="Arial" w:hAnsi="Arial"/>
                <w:sz w:val="13"/>
              </w:rPr>
              <w:t>Private oncology platform already exists</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3"/>
              </w:rPr>
              <w:t>Low</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3"/>
              </w:rPr>
              <w:t>No evidence of transfer</w:t>
            </w:r>
          </w:p>
        </w:tc>
      </w:tr>
      <w:tr>
        <w:trPr>
          <w:cantSplit/>
        </w:trPr>
        <w:tc>
          <w:tcPr>
            <w:tcW w:type="dxa" w:w="1800"/>
            <w:tcMar>
              <w:top w:w="55" w:type="dxa"/>
              <w:start w:w="70" w:type="dxa"/>
              <w:bottom w:w="55" w:type="dxa"/>
              <w:end w:w="70" w:type="dxa"/>
            </w:tcMar>
            <w:vAlign w:val="top"/>
          </w:tcPr>
          <w:p>
            <w:pPr>
              <w:spacing w:after="10" w:line="240" w:lineRule="auto"/>
            </w:pPr>
            <w:r>
              <w:rPr>
                <w:rFonts w:ascii="Arial" w:hAnsi="Arial"/>
                <w:b/>
                <w:sz w:val="13"/>
              </w:rPr>
              <w:t>Next-generation oncology ADCs</w:t>
            </w:r>
          </w:p>
        </w:tc>
        <w:tc>
          <w:tcPr>
            <w:tcW w:type="dxa" w:w="2304"/>
            <w:tcMar>
              <w:top w:w="55" w:type="dxa"/>
              <w:start w:w="70" w:type="dxa"/>
              <w:bottom w:w="55" w:type="dxa"/>
              <w:end w:w="70" w:type="dxa"/>
            </w:tcMar>
            <w:vAlign w:val="top"/>
          </w:tcPr>
          <w:p>
            <w:pPr>
              <w:spacing w:after="10" w:line="240" w:lineRule="auto"/>
            </w:pPr>
            <w:r>
              <w:rPr>
                <w:rFonts w:ascii="Arial" w:hAnsi="Arial"/>
                <w:sz w:val="13"/>
              </w:rPr>
              <w:t>Low listed fit</w:t>
            </w:r>
          </w:p>
        </w:tc>
        <w:tc>
          <w:tcPr>
            <w:tcW w:type="dxa" w:w="2880"/>
            <w:tcMar>
              <w:top w:w="55" w:type="dxa"/>
              <w:start w:w="70" w:type="dxa"/>
              <w:bottom w:w="55" w:type="dxa"/>
              <w:end w:w="70" w:type="dxa"/>
            </w:tcMar>
            <w:vAlign w:val="top"/>
          </w:tcPr>
          <w:p>
            <w:pPr>
              <w:spacing w:after="10" w:line="240" w:lineRule="auto"/>
            </w:pPr>
            <w:r>
              <w:rPr>
                <w:rFonts w:ascii="Arial" w:hAnsi="Arial"/>
                <w:sz w:val="13"/>
              </w:rPr>
              <w:t>Requires oncology-specific infrastructure and private precedent</w:t>
            </w:r>
          </w:p>
        </w:tc>
        <w:tc>
          <w:tcPr>
            <w:tcW w:type="dxa" w:w="1728"/>
            <w:tcMar>
              <w:top w:w="55" w:type="dxa"/>
              <w:start w:w="70" w:type="dxa"/>
              <w:bottom w:w="55" w:type="dxa"/>
              <w:end w:w="70" w:type="dxa"/>
            </w:tcMar>
            <w:vAlign w:val="top"/>
          </w:tcPr>
          <w:p>
            <w:pPr>
              <w:spacing w:after="10" w:line="240" w:lineRule="auto"/>
            </w:pPr>
            <w:r>
              <w:rPr>
                <w:rFonts w:ascii="Arial" w:hAnsi="Arial"/>
                <w:sz w:val="13"/>
              </w:rPr>
              <w:t>Low</w:t>
            </w:r>
          </w:p>
        </w:tc>
        <w:tc>
          <w:tcPr>
            <w:tcW w:type="dxa" w:w="2088"/>
            <w:tcMar>
              <w:top w:w="55" w:type="dxa"/>
              <w:start w:w="70" w:type="dxa"/>
              <w:bottom w:w="55" w:type="dxa"/>
              <w:end w:w="70" w:type="dxa"/>
            </w:tcMar>
            <w:vAlign w:val="top"/>
          </w:tcPr>
          <w:p>
            <w:pPr>
              <w:spacing w:after="10" w:line="240" w:lineRule="auto"/>
            </w:pPr>
            <w:r>
              <w:rPr>
                <w:rFonts w:ascii="Arial" w:hAnsi="Arial"/>
                <w:sz w:val="13"/>
              </w:rPr>
              <w:t>No evidence of listed participation</w:t>
            </w:r>
          </w:p>
        </w:tc>
      </w:tr>
      <w:tr>
        <w:trPr>
          <w:cantSplit/>
        </w:trPr>
        <w:tc>
          <w:tcPr>
            <w:tcW w:type="dxa" w:w="1800"/>
            <w:shd w:fill="F7F7F7"/>
            <w:tcMar>
              <w:top w:w="55" w:type="dxa"/>
              <w:start w:w="70" w:type="dxa"/>
              <w:bottom w:w="55" w:type="dxa"/>
              <w:end w:w="70" w:type="dxa"/>
            </w:tcMar>
            <w:vAlign w:val="top"/>
          </w:tcPr>
          <w:p>
            <w:pPr>
              <w:spacing w:after="10" w:line="240" w:lineRule="auto"/>
            </w:pPr>
            <w:r>
              <w:rPr>
                <w:rFonts w:ascii="Arial" w:hAnsi="Arial"/>
                <w:b/>
                <w:sz w:val="13"/>
              </w:rPr>
              <w:t>Future hospital anti-infectives</w:t>
            </w:r>
          </w:p>
        </w:tc>
        <w:tc>
          <w:tcPr>
            <w:tcW w:type="dxa" w:w="2304"/>
            <w:shd w:fill="F7F7F7"/>
            <w:tcMar>
              <w:top w:w="55" w:type="dxa"/>
              <w:start w:w="70" w:type="dxa"/>
              <w:bottom w:w="55" w:type="dxa"/>
              <w:end w:w="70" w:type="dxa"/>
            </w:tcMar>
            <w:vAlign w:val="top"/>
          </w:tcPr>
          <w:p>
            <w:pPr>
              <w:spacing w:after="10" w:line="240" w:lineRule="auto"/>
            </w:pPr>
            <w:r>
              <w:rPr>
                <w:rFonts w:ascii="Arial" w:hAnsi="Arial"/>
                <w:sz w:val="13"/>
              </w:rPr>
              <w:t>Strong HBU fit</w:t>
            </w:r>
          </w:p>
        </w:tc>
        <w:tc>
          <w:tcPr>
            <w:tcW w:type="dxa" w:w="2880"/>
            <w:shd w:fill="F7F7F7"/>
            <w:tcMar>
              <w:top w:w="55" w:type="dxa"/>
              <w:start w:w="70" w:type="dxa"/>
              <w:bottom w:w="55" w:type="dxa"/>
              <w:end w:w="70" w:type="dxa"/>
            </w:tcMar>
            <w:vAlign w:val="top"/>
          </w:tcPr>
          <w:p>
            <w:pPr>
              <w:spacing w:after="10" w:line="240" w:lineRule="auto"/>
            </w:pPr>
            <w:r>
              <w:rPr>
                <w:rFonts w:ascii="Arial" w:hAnsi="Arial"/>
                <w:sz w:val="13"/>
              </w:rPr>
              <w:t>Supply and pricing need alignment</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3"/>
              </w:rPr>
              <w:t>Medium-high</w:t>
            </w:r>
          </w:p>
        </w:tc>
        <w:tc>
          <w:tcPr>
            <w:tcW w:type="dxa" w:w="2088"/>
            <w:shd w:fill="F7F7F7"/>
            <w:tcMar>
              <w:top w:w="55" w:type="dxa"/>
              <w:start w:w="70" w:type="dxa"/>
              <w:bottom w:w="55" w:type="dxa"/>
              <w:end w:w="70" w:type="dxa"/>
            </w:tcMar>
            <w:vAlign w:val="top"/>
          </w:tcPr>
          <w:p>
            <w:pPr>
              <w:spacing w:after="10" w:line="240" w:lineRule="auto"/>
            </w:pPr>
            <w:r>
              <w:rPr>
                <w:rFonts w:ascii="Arial" w:hAnsi="Arial"/>
                <w:sz w:val="13"/>
              </w:rPr>
              <w:t>Most credible category after vaccines</w:t>
            </w:r>
          </w:p>
        </w:tc>
      </w:tr>
    </w:tbl>
    <w:p>
      <w:pPr>
        <w:pStyle w:val="ExhibitTitle"/>
      </w:pPr>
      <w:r>
        <w:t>Exhibit 6. Only assets that reuse listed field forces deserve material transfer probability</w:t>
      </w:r>
    </w:p>
    <w:p>
      <w:r>
        <w:rPr>
          <w:color w:val="59636E"/>
          <w:sz w:val="15"/>
        </w:rPr>
        <w:t>Vaccines and hospital products are credible candidates. Oncology and rare disease should be valued at zero until a filing names Pfizer Limited.</w:t>
      </w:r>
    </w:p>
    <w:p>
      <w:pPr>
        <w:pStyle w:val="Source"/>
      </w:pPr>
      <w:r>
        <w:t>Source: Bernstein interpretation based on [S1], [S4], [S9-S17].</w:t>
      </w:r>
    </w:p>
    <w:p>
      <w:pPr>
        <w:pStyle w:val="Heading2"/>
      </w:pPr>
      <w:r>
        <w:t>Governance conclusion</w:t>
      </w:r>
    </w:p>
    <w:p>
      <w:r>
        <w:t>This is a genuine minority-shareholder governance concern and a structural valuation discount, not proof of unlawful value diversion. The controlling parent can rationally retain products in a private affiliate when infrastructure, regulatory ownership or global transaction history differs. Minority shareholders, however, lack a disclosed rule that shares Pfizer India opportunity proportionately. We assign no target-price value to private products. A future transfer would be contingent upside.</w:t>
      </w:r>
    </w:p>
    <w:p>
      <w:pPr>
        <w:pStyle w:val="Heading1"/>
      </w:pPr>
      <w:r>
        <w:t>PART IV: Pipeline and launches</w:t>
      </w:r>
    </w:p>
    <w:tbl>
      <w:tblPr>
        <w:tblStyle w:val="TableGrid"/>
        <w:tblW w:type="auto" w:w="0"/>
        <w:jc w:val="center"/>
        <w:tblLayout w:type="fixed"/>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rPr>
          <w:tblHeader w:val="true"/>
        </w:trPr>
        <w:tc>
          <w:tcPr>
            <w:tcW w:type="dxa" w:w="1296"/>
            <w:shd w:fill="9B1C31"/>
            <w:tcMar>
              <w:top w:w="55" w:type="dxa"/>
              <w:start w:w="70" w:type="dxa"/>
              <w:bottom w:w="55" w:type="dxa"/>
              <w:end w:w="70" w:type="dxa"/>
            </w:tcMar>
            <w:vAlign w:val="center"/>
          </w:tcPr>
          <w:p>
            <w:pPr>
              <w:spacing w:line="240" w:lineRule="auto" w:after="10"/>
              <w:jc w:val="left"/>
            </w:pPr>
            <w:r>
              <w:rPr>
                <w:rFonts w:ascii="Arial" w:hAnsi="Arial"/>
                <w:b/>
                <w:color w:val="FFFFFF"/>
                <w:sz w:val="10"/>
              </w:rPr>
              <w:t>Molecule</w:t>
            </w:r>
          </w:p>
        </w:tc>
        <w:tc>
          <w:tcPr>
            <w:tcW w:type="dxa" w:w="1008"/>
            <w:shd w:fill="9B1C31"/>
            <w:tcMar>
              <w:top w:w="55" w:type="dxa"/>
              <w:start w:w="70" w:type="dxa"/>
              <w:bottom w:w="55" w:type="dxa"/>
              <w:end w:w="70" w:type="dxa"/>
            </w:tcMar>
            <w:vAlign w:val="center"/>
          </w:tcPr>
          <w:p>
            <w:pPr>
              <w:spacing w:line="240" w:lineRule="auto" w:after="10"/>
              <w:jc w:val="left"/>
            </w:pPr>
            <w:r>
              <w:rPr>
                <w:rFonts w:ascii="Arial" w:hAnsi="Arial"/>
                <w:b/>
                <w:color w:val="FFFFFF"/>
                <w:sz w:val="10"/>
              </w:rPr>
              <w:t>Brand</w:t>
            </w:r>
          </w:p>
        </w:tc>
        <w:tc>
          <w:tcPr>
            <w:tcW w:type="dxa" w:w="1440"/>
            <w:shd w:fill="9B1C31"/>
            <w:tcMar>
              <w:top w:w="55" w:type="dxa"/>
              <w:start w:w="70" w:type="dxa"/>
              <w:bottom w:w="55" w:type="dxa"/>
              <w:end w:w="70" w:type="dxa"/>
            </w:tcMar>
            <w:vAlign w:val="center"/>
          </w:tcPr>
          <w:p>
            <w:pPr>
              <w:spacing w:line="240" w:lineRule="auto" w:after="10"/>
              <w:jc w:val="left"/>
            </w:pPr>
            <w:r>
              <w:rPr>
                <w:rFonts w:ascii="Arial" w:hAnsi="Arial"/>
                <w:b/>
                <w:color w:val="FFFFFF"/>
                <w:sz w:val="10"/>
              </w:rPr>
              <w:t>Indication</w:t>
            </w:r>
          </w:p>
        </w:tc>
        <w:tc>
          <w:tcPr>
            <w:tcW w:type="dxa" w:w="1800"/>
            <w:shd w:fill="9B1C31"/>
            <w:tcMar>
              <w:top w:w="55" w:type="dxa"/>
              <w:start w:w="70" w:type="dxa"/>
              <w:bottom w:w="55" w:type="dxa"/>
              <w:end w:w="70" w:type="dxa"/>
            </w:tcMar>
            <w:vAlign w:val="center"/>
          </w:tcPr>
          <w:p>
            <w:pPr>
              <w:spacing w:line="240" w:lineRule="auto" w:after="10"/>
              <w:jc w:val="left"/>
            </w:pPr>
            <w:r>
              <w:rPr>
                <w:rFonts w:ascii="Arial" w:hAnsi="Arial"/>
                <w:b/>
                <w:color w:val="FFFFFF"/>
                <w:sz w:val="10"/>
              </w:rPr>
              <w:t>Mechanism</w:t>
            </w:r>
          </w:p>
        </w:tc>
        <w:tc>
          <w:tcPr>
            <w:tcW w:type="dxa" w:w="936"/>
            <w:shd w:fill="9B1C31"/>
            <w:tcMar>
              <w:top w:w="55" w:type="dxa"/>
              <w:start w:w="70" w:type="dxa"/>
              <w:bottom w:w="55" w:type="dxa"/>
              <w:end w:w="70" w:type="dxa"/>
            </w:tcMar>
            <w:vAlign w:val="center"/>
          </w:tcPr>
          <w:p>
            <w:pPr>
              <w:spacing w:line="240" w:lineRule="auto" w:after="10"/>
              <w:jc w:val="left"/>
            </w:pPr>
            <w:r>
              <w:rPr>
                <w:rFonts w:ascii="Arial" w:hAnsi="Arial"/>
                <w:b/>
                <w:color w:val="FFFFFF"/>
                <w:sz w:val="10"/>
              </w:rPr>
              <w:t>Sponsor</w:t>
            </w:r>
          </w:p>
        </w:tc>
        <w:tc>
          <w:tcPr>
            <w:tcW w:type="dxa" w:w="792"/>
            <w:shd w:fill="9B1C31"/>
            <w:tcMar>
              <w:top w:w="55" w:type="dxa"/>
              <w:start w:w="70" w:type="dxa"/>
              <w:bottom w:w="55" w:type="dxa"/>
              <w:end w:w="70" w:type="dxa"/>
            </w:tcMar>
            <w:vAlign w:val="center"/>
          </w:tcPr>
          <w:p>
            <w:pPr>
              <w:spacing w:line="240" w:lineRule="auto" w:after="10"/>
              <w:jc w:val="left"/>
            </w:pPr>
            <w:r>
              <w:rPr>
                <w:rFonts w:ascii="Arial" w:hAnsi="Arial"/>
                <w:b/>
                <w:color w:val="FFFFFF"/>
                <w:sz w:val="10"/>
              </w:rPr>
              <w:t>Sites</w:t>
            </w:r>
          </w:p>
        </w:tc>
        <w:tc>
          <w:tcPr>
            <w:tcW w:type="dxa" w:w="864"/>
            <w:shd w:fill="9B1C31"/>
            <w:tcMar>
              <w:top w:w="55" w:type="dxa"/>
              <w:start w:w="70" w:type="dxa"/>
              <w:bottom w:w="55" w:type="dxa"/>
              <w:end w:w="70" w:type="dxa"/>
            </w:tcMar>
            <w:vAlign w:val="center"/>
          </w:tcPr>
          <w:p>
            <w:pPr>
              <w:spacing w:line="240" w:lineRule="auto" w:after="10"/>
              <w:jc w:val="left"/>
            </w:pPr>
            <w:r>
              <w:rPr>
                <w:rFonts w:ascii="Arial" w:hAnsi="Arial"/>
                <w:b/>
                <w:color w:val="FFFFFF"/>
                <w:sz w:val="10"/>
              </w:rPr>
              <w:t>Phase</w:t>
            </w:r>
          </w:p>
        </w:tc>
        <w:tc>
          <w:tcPr>
            <w:tcW w:type="dxa" w:w="1152"/>
            <w:shd w:fill="9B1C31"/>
            <w:tcMar>
              <w:top w:w="55" w:type="dxa"/>
              <w:start w:w="70" w:type="dxa"/>
              <w:bottom w:w="55" w:type="dxa"/>
              <w:end w:w="70" w:type="dxa"/>
            </w:tcMar>
            <w:vAlign w:val="center"/>
          </w:tcPr>
          <w:p>
            <w:pPr>
              <w:spacing w:line="240" w:lineRule="auto" w:after="10"/>
              <w:jc w:val="left"/>
            </w:pPr>
            <w:r>
              <w:rPr>
                <w:rFonts w:ascii="Arial" w:hAnsi="Arial"/>
                <w:b/>
                <w:color w:val="FFFFFF"/>
                <w:sz w:val="10"/>
              </w:rPr>
              <w:t>Status</w:t>
            </w:r>
          </w:p>
        </w:tc>
        <w:tc>
          <w:tcPr>
            <w:tcW w:type="dxa" w:w="1656"/>
            <w:shd w:fill="9B1C31"/>
            <w:tcMar>
              <w:top w:w="55" w:type="dxa"/>
              <w:start w:w="70" w:type="dxa"/>
              <w:bottom w:w="55" w:type="dxa"/>
              <w:end w:w="70" w:type="dxa"/>
            </w:tcMar>
            <w:vAlign w:val="center"/>
          </w:tcPr>
          <w:p>
            <w:pPr>
              <w:spacing w:line="240" w:lineRule="auto" w:after="10"/>
              <w:jc w:val="left"/>
            </w:pPr>
            <w:r>
              <w:rPr>
                <w:rFonts w:ascii="Arial" w:hAnsi="Arial"/>
                <w:b/>
                <w:color w:val="FFFFFF"/>
                <w:sz w:val="10"/>
              </w:rPr>
              <w:t>ID</w:t>
            </w:r>
          </w:p>
        </w:tc>
        <w:tc>
          <w:tcPr>
            <w:tcW w:type="dxa" w:w="1296"/>
            <w:shd w:fill="9B1C31"/>
            <w:tcMar>
              <w:top w:w="55" w:type="dxa"/>
              <w:start w:w="70" w:type="dxa"/>
              <w:bottom w:w="55" w:type="dxa"/>
              <w:end w:w="70" w:type="dxa"/>
            </w:tcMar>
            <w:vAlign w:val="center"/>
          </w:tcPr>
          <w:p>
            <w:pPr>
              <w:spacing w:line="240" w:lineRule="auto" w:after="10"/>
              <w:jc w:val="left"/>
            </w:pPr>
            <w:r>
              <w:rPr>
                <w:rFonts w:ascii="Arial" w:hAnsi="Arial"/>
                <w:b/>
                <w:color w:val="FFFFFF"/>
                <w:sz w:val="10"/>
              </w:rPr>
              <w:t>Global status</w:t>
            </w:r>
          </w:p>
        </w:tc>
        <w:tc>
          <w:tcPr>
            <w:tcW w:type="dxa" w:w="1872"/>
            <w:shd w:fill="9B1C31"/>
            <w:tcMar>
              <w:top w:w="55" w:type="dxa"/>
              <w:start w:w="70" w:type="dxa"/>
              <w:bottom w:w="55" w:type="dxa"/>
              <w:end w:w="70" w:type="dxa"/>
            </w:tcMar>
            <w:vAlign w:val="center"/>
          </w:tcPr>
          <w:p>
            <w:pPr>
              <w:spacing w:line="240" w:lineRule="auto" w:after="10"/>
              <w:jc w:val="left"/>
            </w:pPr>
            <w:r>
              <w:rPr>
                <w:rFonts w:ascii="Arial" w:hAnsi="Arial"/>
                <w:b/>
                <w:color w:val="FFFFFF"/>
                <w:sz w:val="10"/>
              </w:rPr>
              <w:t>Listed relevance</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0"/>
              </w:rPr>
              <w:t>Rimegepant</w:t>
            </w:r>
          </w:p>
        </w:tc>
        <w:tc>
          <w:tcPr>
            <w:tcW w:type="dxa" w:w="1008"/>
            <w:tcMar>
              <w:top w:w="55" w:type="dxa"/>
              <w:start w:w="70" w:type="dxa"/>
              <w:bottom w:w="55" w:type="dxa"/>
              <w:end w:w="70" w:type="dxa"/>
            </w:tcMar>
            <w:vAlign w:val="top"/>
          </w:tcPr>
          <w:p>
            <w:pPr>
              <w:spacing w:after="10" w:line="240" w:lineRule="auto"/>
            </w:pPr>
            <w:r>
              <w:rPr>
                <w:rFonts w:ascii="Arial" w:hAnsi="Arial"/>
                <w:sz w:val="10"/>
              </w:rPr>
              <w:t>Nurtec</w:t>
            </w:r>
          </w:p>
        </w:tc>
        <w:tc>
          <w:tcPr>
            <w:tcW w:type="dxa" w:w="1440"/>
            <w:tcMar>
              <w:top w:w="55" w:type="dxa"/>
              <w:start w:w="70" w:type="dxa"/>
              <w:bottom w:w="55" w:type="dxa"/>
              <w:end w:w="70" w:type="dxa"/>
            </w:tcMar>
            <w:vAlign w:val="top"/>
          </w:tcPr>
          <w:p>
            <w:pPr>
              <w:spacing w:after="10" w:line="240" w:lineRule="auto"/>
            </w:pPr>
            <w:r>
              <w:rPr>
                <w:rFonts w:ascii="Arial" w:hAnsi="Arial"/>
                <w:sz w:val="10"/>
              </w:rPr>
              <w:t>Migraine</w:t>
            </w:r>
          </w:p>
        </w:tc>
        <w:tc>
          <w:tcPr>
            <w:tcW w:type="dxa" w:w="1800"/>
            <w:tcMar>
              <w:top w:w="55" w:type="dxa"/>
              <w:start w:w="70" w:type="dxa"/>
              <w:bottom w:w="55" w:type="dxa"/>
              <w:end w:w="70" w:type="dxa"/>
            </w:tcMar>
            <w:vAlign w:val="top"/>
          </w:tcPr>
          <w:p>
            <w:pPr>
              <w:spacing w:after="10" w:line="240" w:lineRule="auto"/>
            </w:pPr>
            <w:r>
              <w:rPr>
                <w:rFonts w:ascii="Arial" w:hAnsi="Arial"/>
                <w:sz w:val="10"/>
              </w:rPr>
              <w:t>CGRP receptor antagonist</w:t>
            </w:r>
          </w:p>
        </w:tc>
        <w:tc>
          <w:tcPr>
            <w:tcW w:type="dxa" w:w="936"/>
            <w:tcMar>
              <w:top w:w="55" w:type="dxa"/>
              <w:start w:w="70" w:type="dxa"/>
              <w:bottom w:w="55" w:type="dxa"/>
              <w:end w:w="70" w:type="dxa"/>
            </w:tcMar>
            <w:vAlign w:val="top"/>
          </w:tcPr>
          <w:p>
            <w:pPr>
              <w:spacing w:after="10" w:line="240" w:lineRule="auto"/>
            </w:pPr>
            <w:r>
              <w:rPr>
                <w:rFonts w:ascii="Arial" w:hAnsi="Arial"/>
                <w:sz w:val="10"/>
              </w:rPr>
              <w:t>Pfizer</w:t>
            </w:r>
          </w:p>
        </w:tc>
        <w:tc>
          <w:tcPr>
            <w:tcW w:type="dxa" w:w="792"/>
            <w:tcMar>
              <w:top w:w="55" w:type="dxa"/>
              <w:start w:w="70" w:type="dxa"/>
              <w:bottom w:w="55" w:type="dxa"/>
              <w:end w:w="70" w:type="dxa"/>
            </w:tcMar>
            <w:vAlign w:val="top"/>
          </w:tcPr>
          <w:p>
            <w:pPr>
              <w:spacing w:after="10" w:line="240" w:lineRule="auto"/>
            </w:pPr>
            <w:r>
              <w:rPr>
                <w:rFonts w:ascii="Arial" w:hAnsi="Arial"/>
                <w:sz w:val="10"/>
              </w:rPr>
              <w:t>India</w:t>
            </w:r>
          </w:p>
        </w:tc>
        <w:tc>
          <w:tcPr>
            <w:tcW w:type="dxa" w:w="864"/>
            <w:tcMar>
              <w:top w:w="55" w:type="dxa"/>
              <w:start w:w="70" w:type="dxa"/>
              <w:bottom w:w="55" w:type="dxa"/>
              <w:end w:w="70" w:type="dxa"/>
            </w:tcMar>
            <w:vAlign w:val="top"/>
          </w:tcPr>
          <w:p>
            <w:pPr>
              <w:spacing w:after="10" w:line="240" w:lineRule="auto"/>
            </w:pPr>
            <w:r>
              <w:rPr>
                <w:rFonts w:ascii="Arial" w:hAnsi="Arial"/>
                <w:sz w:val="10"/>
              </w:rPr>
              <w:t>Phase 4</w:t>
            </w:r>
          </w:p>
        </w:tc>
        <w:tc>
          <w:tcPr>
            <w:tcW w:type="dxa" w:w="1152"/>
            <w:tcMar>
              <w:top w:w="55" w:type="dxa"/>
              <w:start w:w="70" w:type="dxa"/>
              <w:bottom w:w="55" w:type="dxa"/>
              <w:end w:w="70" w:type="dxa"/>
            </w:tcMar>
            <w:vAlign w:val="top"/>
          </w:tcPr>
          <w:p>
            <w:pPr>
              <w:spacing w:after="10" w:line="240" w:lineRule="auto"/>
            </w:pPr>
            <w:r>
              <w:rPr>
                <w:rFonts w:ascii="Arial" w:hAnsi="Arial"/>
                <w:sz w:val="10"/>
              </w:rPr>
              <w:t>Recruiting</w:t>
            </w:r>
          </w:p>
        </w:tc>
        <w:tc>
          <w:tcPr>
            <w:tcW w:type="dxa" w:w="1656"/>
            <w:tcMar>
              <w:top w:w="55" w:type="dxa"/>
              <w:start w:w="70" w:type="dxa"/>
              <w:bottom w:w="55" w:type="dxa"/>
              <w:end w:w="70" w:type="dxa"/>
            </w:tcMar>
            <w:vAlign w:val="top"/>
          </w:tcPr>
          <w:p>
            <w:pPr>
              <w:spacing w:after="10" w:line="240" w:lineRule="auto"/>
            </w:pPr>
            <w:r>
              <w:rPr>
                <w:rFonts w:ascii="Arial" w:hAnsi="Arial"/>
                <w:sz w:val="10"/>
              </w:rPr>
              <w:t>NCT07685769</w:t>
            </w:r>
          </w:p>
        </w:tc>
        <w:tc>
          <w:tcPr>
            <w:tcW w:type="dxa" w:w="1296"/>
            <w:tcMar>
              <w:top w:w="55" w:type="dxa"/>
              <w:start w:w="70" w:type="dxa"/>
              <w:bottom w:w="55" w:type="dxa"/>
              <w:end w:w="70" w:type="dxa"/>
            </w:tcMar>
            <w:vAlign w:val="top"/>
          </w:tcPr>
          <w:p>
            <w:pPr>
              <w:spacing w:after="10" w:line="240" w:lineRule="auto"/>
            </w:pPr>
            <w:r>
              <w:rPr>
                <w:rFonts w:ascii="Arial" w:hAnsi="Arial"/>
                <w:sz w:val="10"/>
              </w:rPr>
              <w:t>Launched</w:t>
            </w:r>
          </w:p>
        </w:tc>
        <w:tc>
          <w:tcPr>
            <w:tcW w:type="dxa" w:w="1872"/>
            <w:tcMar>
              <w:top w:w="55" w:type="dxa"/>
              <w:start w:w="70" w:type="dxa"/>
              <w:bottom w:w="55" w:type="dxa"/>
              <w:end w:w="70" w:type="dxa"/>
            </w:tcMar>
            <w:vAlign w:val="top"/>
          </w:tcPr>
          <w:p>
            <w:pPr>
              <w:spacing w:after="10" w:line="240" w:lineRule="auto"/>
            </w:pPr>
            <w:r>
              <w:rPr>
                <w:rFonts w:ascii="Arial" w:hAnsi="Arial"/>
                <w:sz w:val="10"/>
              </w:rPr>
              <w:t>Existing listed lifecycle</w:t>
            </w:r>
          </w:p>
        </w:tc>
      </w:tr>
      <w:tr>
        <w:trPr>
          <w:cantSplit/>
        </w:trPr>
        <w:tc>
          <w:tcPr>
            <w:tcW w:type="dxa" w:w="1296"/>
            <w:shd w:fill="F7F7F7"/>
            <w:tcMar>
              <w:top w:w="55" w:type="dxa"/>
              <w:start w:w="70" w:type="dxa"/>
              <w:bottom w:w="55" w:type="dxa"/>
              <w:end w:w="70" w:type="dxa"/>
            </w:tcMar>
            <w:vAlign w:val="top"/>
          </w:tcPr>
          <w:p>
            <w:pPr>
              <w:spacing w:after="10" w:line="240" w:lineRule="auto"/>
            </w:pPr>
            <w:r>
              <w:rPr>
                <w:rFonts w:ascii="Arial" w:hAnsi="Arial"/>
                <w:b/>
                <w:sz w:val="10"/>
              </w:rPr>
              <w:t>Aztreonam-avibactam</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0"/>
              </w:rPr>
              <w:t>Emblaveo</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0"/>
              </w:rPr>
              <w:t>MDR Gram-negative infection</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0"/>
              </w:rPr>
              <w:t>Monobactam + beta-lactamase inhibitor</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0"/>
              </w:rPr>
              <w:t>Pfizer</w:t>
            </w:r>
          </w:p>
        </w:tc>
        <w:tc>
          <w:tcPr>
            <w:tcW w:type="dxa" w:w="792"/>
            <w:shd w:fill="F7F7F7"/>
            <w:tcMar>
              <w:top w:w="55" w:type="dxa"/>
              <w:start w:w="70" w:type="dxa"/>
              <w:bottom w:w="55" w:type="dxa"/>
              <w:end w:w="70" w:type="dxa"/>
            </w:tcMar>
            <w:vAlign w:val="top"/>
          </w:tcPr>
          <w:p>
            <w:pPr>
              <w:spacing w:after="10" w:line="240" w:lineRule="auto"/>
            </w:pPr>
            <w:r>
              <w:rPr>
                <w:rFonts w:ascii="Arial" w:hAnsi="Arial"/>
                <w:sz w:val="10"/>
              </w:rPr>
              <w:t>India</w:t>
            </w:r>
          </w:p>
        </w:tc>
        <w:tc>
          <w:tcPr>
            <w:tcW w:type="dxa" w:w="864"/>
            <w:shd w:fill="F7F7F7"/>
            <w:tcMar>
              <w:top w:w="55" w:type="dxa"/>
              <w:start w:w="70" w:type="dxa"/>
              <w:bottom w:w="55" w:type="dxa"/>
              <w:end w:w="70" w:type="dxa"/>
            </w:tcMar>
            <w:vAlign w:val="top"/>
          </w:tcPr>
          <w:p>
            <w:pPr>
              <w:spacing w:after="10" w:line="240" w:lineRule="auto"/>
            </w:pPr>
            <w:r>
              <w:rPr>
                <w:rFonts w:ascii="Arial" w:hAnsi="Arial"/>
                <w:sz w:val="10"/>
              </w:rPr>
              <w:t>Phase 2 confirmatory</w:t>
            </w:r>
          </w:p>
        </w:tc>
        <w:tc>
          <w:tcPr>
            <w:tcW w:type="dxa" w:w="1152"/>
            <w:shd w:fill="F7F7F7"/>
            <w:tcMar>
              <w:top w:w="55" w:type="dxa"/>
              <w:start w:w="70" w:type="dxa"/>
              <w:bottom w:w="55" w:type="dxa"/>
              <w:end w:w="70" w:type="dxa"/>
            </w:tcMar>
            <w:vAlign w:val="top"/>
          </w:tcPr>
          <w:p>
            <w:pPr>
              <w:spacing w:after="10" w:line="240" w:lineRule="auto"/>
            </w:pPr>
            <w:r>
              <w:rPr>
                <w:rFonts w:ascii="Arial" w:hAnsi="Arial"/>
                <w:sz w:val="10"/>
              </w:rPr>
              <w:t>Recruiting</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0"/>
              </w:rPr>
              <w:t>NCT05639647</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0"/>
              </w:rPr>
              <w:t>Launched</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0"/>
              </w:rPr>
              <w:t>Existing listed lifecycle</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0"/>
              </w:rPr>
              <w:t>RSVpreF</w:t>
            </w:r>
          </w:p>
        </w:tc>
        <w:tc>
          <w:tcPr>
            <w:tcW w:type="dxa" w:w="1008"/>
            <w:tcMar>
              <w:top w:w="55" w:type="dxa"/>
              <w:start w:w="70" w:type="dxa"/>
              <w:bottom w:w="55" w:type="dxa"/>
              <w:end w:w="70" w:type="dxa"/>
            </w:tcMar>
            <w:vAlign w:val="top"/>
          </w:tcPr>
          <w:p>
            <w:pPr>
              <w:spacing w:after="10" w:line="240" w:lineRule="auto"/>
            </w:pPr>
            <w:r>
              <w:rPr>
                <w:rFonts w:ascii="Arial" w:hAnsi="Arial"/>
                <w:sz w:val="10"/>
              </w:rPr>
              <w:t>Abrysvo</w:t>
            </w:r>
          </w:p>
        </w:tc>
        <w:tc>
          <w:tcPr>
            <w:tcW w:type="dxa" w:w="1440"/>
            <w:tcMar>
              <w:top w:w="55" w:type="dxa"/>
              <w:start w:w="70" w:type="dxa"/>
              <w:bottom w:w="55" w:type="dxa"/>
              <w:end w:w="70" w:type="dxa"/>
            </w:tcMar>
            <w:vAlign w:val="top"/>
          </w:tcPr>
          <w:p>
            <w:pPr>
              <w:spacing w:after="10" w:line="240" w:lineRule="auto"/>
            </w:pPr>
            <w:r>
              <w:rPr>
                <w:rFonts w:ascii="Arial" w:hAnsi="Arial"/>
                <w:sz w:val="10"/>
              </w:rPr>
              <w:t>RSV prevention</w:t>
            </w:r>
          </w:p>
        </w:tc>
        <w:tc>
          <w:tcPr>
            <w:tcW w:type="dxa" w:w="1800"/>
            <w:tcMar>
              <w:top w:w="55" w:type="dxa"/>
              <w:start w:w="70" w:type="dxa"/>
              <w:bottom w:w="55" w:type="dxa"/>
              <w:end w:w="70" w:type="dxa"/>
            </w:tcMar>
            <w:vAlign w:val="top"/>
          </w:tcPr>
          <w:p>
            <w:pPr>
              <w:spacing w:after="10" w:line="240" w:lineRule="auto"/>
            </w:pPr>
            <w:r>
              <w:rPr>
                <w:rFonts w:ascii="Arial" w:hAnsi="Arial"/>
                <w:sz w:val="10"/>
              </w:rPr>
              <w:t>Bivalent prefusion F vaccine</w:t>
            </w:r>
          </w:p>
        </w:tc>
        <w:tc>
          <w:tcPr>
            <w:tcW w:type="dxa" w:w="936"/>
            <w:tcMar>
              <w:top w:w="55" w:type="dxa"/>
              <w:start w:w="70" w:type="dxa"/>
              <w:bottom w:w="55" w:type="dxa"/>
              <w:end w:w="70" w:type="dxa"/>
            </w:tcMar>
            <w:vAlign w:val="top"/>
          </w:tcPr>
          <w:p>
            <w:pPr>
              <w:spacing w:after="10" w:line="240" w:lineRule="auto"/>
            </w:pPr>
            <w:r>
              <w:rPr>
                <w:rFonts w:ascii="Arial" w:hAnsi="Arial"/>
                <w:sz w:val="10"/>
              </w:rPr>
              <w:t>Pfizer</w:t>
            </w:r>
          </w:p>
        </w:tc>
        <w:tc>
          <w:tcPr>
            <w:tcW w:type="dxa" w:w="792"/>
            <w:tcMar>
              <w:top w:w="55" w:type="dxa"/>
              <w:start w:w="70" w:type="dxa"/>
              <w:bottom w:w="55" w:type="dxa"/>
              <w:end w:w="70" w:type="dxa"/>
            </w:tcMar>
            <w:vAlign w:val="top"/>
          </w:tcPr>
          <w:p>
            <w:pPr>
              <w:spacing w:after="10" w:line="240" w:lineRule="auto"/>
            </w:pPr>
            <w:r>
              <w:rPr>
                <w:rFonts w:ascii="Arial" w:hAnsi="Arial"/>
                <w:sz w:val="10"/>
              </w:rPr>
              <w:t>India</w:t>
            </w:r>
          </w:p>
        </w:tc>
        <w:tc>
          <w:tcPr>
            <w:tcW w:type="dxa" w:w="864"/>
            <w:tcMar>
              <w:top w:w="55" w:type="dxa"/>
              <w:start w:w="70" w:type="dxa"/>
              <w:bottom w:w="55" w:type="dxa"/>
              <w:end w:w="70" w:type="dxa"/>
            </w:tcMar>
            <w:vAlign w:val="top"/>
          </w:tcPr>
          <w:p>
            <w:pPr>
              <w:spacing w:after="10" w:line="240" w:lineRule="auto"/>
            </w:pPr>
            <w:r>
              <w:rPr>
                <w:rFonts w:ascii="Arial" w:hAnsi="Arial"/>
                <w:sz w:val="10"/>
              </w:rPr>
              <w:t>Phase 3</w:t>
            </w:r>
          </w:p>
        </w:tc>
        <w:tc>
          <w:tcPr>
            <w:tcW w:type="dxa" w:w="1152"/>
            <w:tcMar>
              <w:top w:w="55" w:type="dxa"/>
              <w:start w:w="70" w:type="dxa"/>
              <w:bottom w:w="55" w:type="dxa"/>
              <w:end w:w="70" w:type="dxa"/>
            </w:tcMar>
            <w:vAlign w:val="top"/>
          </w:tcPr>
          <w:p>
            <w:pPr>
              <w:spacing w:after="10" w:line="240" w:lineRule="auto"/>
            </w:pPr>
            <w:r>
              <w:rPr>
                <w:rFonts w:ascii="Arial" w:hAnsi="Arial"/>
                <w:sz w:val="10"/>
              </w:rPr>
              <w:t>Recruiting</w:t>
            </w:r>
          </w:p>
        </w:tc>
        <w:tc>
          <w:tcPr>
            <w:tcW w:type="dxa" w:w="1656"/>
            <w:tcMar>
              <w:top w:w="55" w:type="dxa"/>
              <w:start w:w="70" w:type="dxa"/>
              <w:bottom w:w="55" w:type="dxa"/>
              <w:end w:w="70" w:type="dxa"/>
            </w:tcMar>
            <w:vAlign w:val="top"/>
          </w:tcPr>
          <w:p>
            <w:pPr>
              <w:spacing w:after="10" w:line="240" w:lineRule="auto"/>
            </w:pPr>
            <w:r>
              <w:rPr>
                <w:rFonts w:ascii="Arial" w:hAnsi="Arial"/>
                <w:sz w:val="10"/>
              </w:rPr>
              <w:t>NCT07653100</w:t>
            </w:r>
          </w:p>
        </w:tc>
        <w:tc>
          <w:tcPr>
            <w:tcW w:type="dxa" w:w="1296"/>
            <w:tcMar>
              <w:top w:w="55" w:type="dxa"/>
              <w:start w:w="70" w:type="dxa"/>
              <w:bottom w:w="55" w:type="dxa"/>
              <w:end w:w="70" w:type="dxa"/>
            </w:tcMar>
            <w:vAlign w:val="top"/>
          </w:tcPr>
          <w:p>
            <w:pPr>
              <w:spacing w:after="10" w:line="240" w:lineRule="auto"/>
            </w:pPr>
            <w:r>
              <w:rPr>
                <w:rFonts w:ascii="Arial" w:hAnsi="Arial"/>
                <w:sz w:val="10"/>
              </w:rPr>
              <w:t>Global marketed</w:t>
            </w:r>
          </w:p>
        </w:tc>
        <w:tc>
          <w:tcPr>
            <w:tcW w:type="dxa" w:w="1872"/>
            <w:tcMar>
              <w:top w:w="55" w:type="dxa"/>
              <w:start w:w="70" w:type="dxa"/>
              <w:bottom w:w="55" w:type="dxa"/>
              <w:end w:w="70" w:type="dxa"/>
            </w:tcMar>
            <w:vAlign w:val="top"/>
          </w:tcPr>
          <w:p>
            <w:pPr>
              <w:spacing w:after="10" w:line="240" w:lineRule="auto"/>
            </w:pPr>
            <w:r>
              <w:rPr>
                <w:rFonts w:ascii="Arial" w:hAnsi="Arial"/>
                <w:sz w:val="10"/>
              </w:rPr>
              <w:t>Potential listed launch; rights unconfirmed</w:t>
            </w:r>
          </w:p>
        </w:tc>
      </w:tr>
      <w:tr>
        <w:trPr>
          <w:cantSplit/>
        </w:trPr>
        <w:tc>
          <w:tcPr>
            <w:tcW w:type="dxa" w:w="1296"/>
            <w:shd w:fill="F7F7F7"/>
            <w:tcMar>
              <w:top w:w="55" w:type="dxa"/>
              <w:start w:w="70" w:type="dxa"/>
              <w:bottom w:w="55" w:type="dxa"/>
              <w:end w:w="70" w:type="dxa"/>
            </w:tcMar>
            <w:vAlign w:val="top"/>
          </w:tcPr>
          <w:p>
            <w:pPr>
              <w:spacing w:after="10" w:line="240" w:lineRule="auto"/>
            </w:pPr>
            <w:r>
              <w:rPr>
                <w:rFonts w:ascii="Arial" w:hAnsi="Arial"/>
                <w:b/>
                <w:sz w:val="10"/>
              </w:rPr>
              <w:t>Etrasimod</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0"/>
              </w:rPr>
              <w:t>Velsipity</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0"/>
              </w:rPr>
              <w:t>Ulcerative colitis</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0"/>
              </w:rPr>
              <w:t>S1P receptor modulator</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0"/>
              </w:rPr>
              <w:t>Pfizer</w:t>
            </w:r>
          </w:p>
        </w:tc>
        <w:tc>
          <w:tcPr>
            <w:tcW w:type="dxa" w:w="792"/>
            <w:shd w:fill="F7F7F7"/>
            <w:tcMar>
              <w:top w:w="55" w:type="dxa"/>
              <w:start w:w="70" w:type="dxa"/>
              <w:bottom w:w="55" w:type="dxa"/>
              <w:end w:w="70" w:type="dxa"/>
            </w:tcMar>
            <w:vAlign w:val="top"/>
          </w:tcPr>
          <w:p>
            <w:pPr>
              <w:spacing w:after="10" w:line="240" w:lineRule="auto"/>
            </w:pPr>
            <w:r>
              <w:rPr>
                <w:rFonts w:ascii="Arial" w:hAnsi="Arial"/>
                <w:sz w:val="10"/>
              </w:rPr>
              <w:t>India</w:t>
            </w:r>
          </w:p>
        </w:tc>
        <w:tc>
          <w:tcPr>
            <w:tcW w:type="dxa" w:w="864"/>
            <w:shd w:fill="F7F7F7"/>
            <w:tcMar>
              <w:top w:w="55" w:type="dxa"/>
              <w:start w:w="70" w:type="dxa"/>
              <w:bottom w:w="55" w:type="dxa"/>
              <w:end w:w="70" w:type="dxa"/>
            </w:tcMar>
            <w:vAlign w:val="top"/>
          </w:tcPr>
          <w:p>
            <w:pPr>
              <w:spacing w:after="10" w:line="240" w:lineRule="auto"/>
            </w:pPr>
            <w:r>
              <w:rPr>
                <w:rFonts w:ascii="Arial" w:hAnsi="Arial"/>
                <w:sz w:val="10"/>
              </w:rPr>
              <w:t>Phase 3 extension</w:t>
            </w:r>
          </w:p>
        </w:tc>
        <w:tc>
          <w:tcPr>
            <w:tcW w:type="dxa" w:w="1152"/>
            <w:shd w:fill="F7F7F7"/>
            <w:tcMar>
              <w:top w:w="55" w:type="dxa"/>
              <w:start w:w="70" w:type="dxa"/>
              <w:bottom w:w="55" w:type="dxa"/>
              <w:end w:w="70" w:type="dxa"/>
            </w:tcMar>
            <w:vAlign w:val="top"/>
          </w:tcPr>
          <w:p>
            <w:pPr>
              <w:spacing w:after="10" w:line="240" w:lineRule="auto"/>
            </w:pPr>
            <w:r>
              <w:rPr>
                <w:rFonts w:ascii="Arial" w:hAnsi="Arial"/>
                <w:sz w:val="10"/>
              </w:rPr>
              <w:t>Active, not recruiting</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0"/>
              </w:rPr>
              <w:t>NCT03950232</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0"/>
              </w:rPr>
              <w:t>Global marketed</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0"/>
              </w:rPr>
              <w:t>Parent asset; listed relevance uncertain</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0"/>
              </w:rPr>
              <w:t>Marstacimab</w:t>
            </w:r>
          </w:p>
        </w:tc>
        <w:tc>
          <w:tcPr>
            <w:tcW w:type="dxa" w:w="1008"/>
            <w:tcMar>
              <w:top w:w="55" w:type="dxa"/>
              <w:start w:w="70" w:type="dxa"/>
              <w:bottom w:w="55" w:type="dxa"/>
              <w:end w:w="70" w:type="dxa"/>
            </w:tcMar>
            <w:vAlign w:val="top"/>
          </w:tcPr>
          <w:p>
            <w:pPr>
              <w:spacing w:after="10" w:line="240" w:lineRule="auto"/>
            </w:pPr>
            <w:r>
              <w:rPr>
                <w:rFonts w:ascii="Arial" w:hAnsi="Arial"/>
                <w:sz w:val="10"/>
              </w:rPr>
              <w:t>Hympavzi</w:t>
            </w:r>
          </w:p>
        </w:tc>
        <w:tc>
          <w:tcPr>
            <w:tcW w:type="dxa" w:w="1440"/>
            <w:tcMar>
              <w:top w:w="55" w:type="dxa"/>
              <w:start w:w="70" w:type="dxa"/>
              <w:bottom w:w="55" w:type="dxa"/>
              <w:end w:w="70" w:type="dxa"/>
            </w:tcMar>
            <w:vAlign w:val="top"/>
          </w:tcPr>
          <w:p>
            <w:pPr>
              <w:spacing w:after="10" w:line="240" w:lineRule="auto"/>
            </w:pPr>
            <w:r>
              <w:rPr>
                <w:rFonts w:ascii="Arial" w:hAnsi="Arial"/>
                <w:sz w:val="10"/>
              </w:rPr>
              <w:t>Haemophilia A/B</w:t>
            </w:r>
          </w:p>
        </w:tc>
        <w:tc>
          <w:tcPr>
            <w:tcW w:type="dxa" w:w="1800"/>
            <w:tcMar>
              <w:top w:w="55" w:type="dxa"/>
              <w:start w:w="70" w:type="dxa"/>
              <w:bottom w:w="55" w:type="dxa"/>
              <w:end w:w="70" w:type="dxa"/>
            </w:tcMar>
            <w:vAlign w:val="top"/>
          </w:tcPr>
          <w:p>
            <w:pPr>
              <w:spacing w:after="10" w:line="240" w:lineRule="auto"/>
            </w:pPr>
            <w:r>
              <w:rPr>
                <w:rFonts w:ascii="Arial" w:hAnsi="Arial"/>
                <w:sz w:val="10"/>
              </w:rPr>
              <w:t>Anti-TFPI antibody</w:t>
            </w:r>
          </w:p>
        </w:tc>
        <w:tc>
          <w:tcPr>
            <w:tcW w:type="dxa" w:w="936"/>
            <w:tcMar>
              <w:top w:w="55" w:type="dxa"/>
              <w:start w:w="70" w:type="dxa"/>
              <w:bottom w:w="55" w:type="dxa"/>
              <w:end w:w="70" w:type="dxa"/>
            </w:tcMar>
            <w:vAlign w:val="top"/>
          </w:tcPr>
          <w:p>
            <w:pPr>
              <w:spacing w:after="10" w:line="240" w:lineRule="auto"/>
            </w:pPr>
            <w:r>
              <w:rPr>
                <w:rFonts w:ascii="Arial" w:hAnsi="Arial"/>
                <w:sz w:val="10"/>
              </w:rPr>
              <w:t>Pfizer</w:t>
            </w:r>
          </w:p>
        </w:tc>
        <w:tc>
          <w:tcPr>
            <w:tcW w:type="dxa" w:w="792"/>
            <w:tcMar>
              <w:top w:w="55" w:type="dxa"/>
              <w:start w:w="70" w:type="dxa"/>
              <w:bottom w:w="55" w:type="dxa"/>
              <w:end w:w="70" w:type="dxa"/>
            </w:tcMar>
            <w:vAlign w:val="top"/>
          </w:tcPr>
          <w:p>
            <w:pPr>
              <w:spacing w:after="10" w:line="240" w:lineRule="auto"/>
            </w:pPr>
            <w:r>
              <w:rPr>
                <w:rFonts w:ascii="Arial" w:hAnsi="Arial"/>
                <w:sz w:val="10"/>
              </w:rPr>
              <w:t>India</w:t>
            </w:r>
          </w:p>
        </w:tc>
        <w:tc>
          <w:tcPr>
            <w:tcW w:type="dxa" w:w="864"/>
            <w:tcMar>
              <w:top w:w="55" w:type="dxa"/>
              <w:start w:w="70" w:type="dxa"/>
              <w:bottom w:w="55" w:type="dxa"/>
              <w:end w:w="70" w:type="dxa"/>
            </w:tcMar>
            <w:vAlign w:val="top"/>
          </w:tcPr>
          <w:p>
            <w:pPr>
              <w:spacing w:after="10" w:line="240" w:lineRule="auto"/>
            </w:pPr>
            <w:r>
              <w:rPr>
                <w:rFonts w:ascii="Arial" w:hAnsi="Arial"/>
                <w:sz w:val="10"/>
              </w:rPr>
              <w:t>Phase 1 switching</w:t>
            </w:r>
          </w:p>
        </w:tc>
        <w:tc>
          <w:tcPr>
            <w:tcW w:type="dxa" w:w="1152"/>
            <w:tcMar>
              <w:top w:w="55" w:type="dxa"/>
              <w:start w:w="70" w:type="dxa"/>
              <w:bottom w:w="55" w:type="dxa"/>
              <w:end w:w="70" w:type="dxa"/>
            </w:tcMar>
            <w:vAlign w:val="top"/>
          </w:tcPr>
          <w:p>
            <w:pPr>
              <w:spacing w:after="10" w:line="240" w:lineRule="auto"/>
            </w:pPr>
            <w:r>
              <w:rPr>
                <w:rFonts w:ascii="Arial" w:hAnsi="Arial"/>
                <w:sz w:val="10"/>
              </w:rPr>
              <w:t>Recruiting</w:t>
            </w:r>
          </w:p>
        </w:tc>
        <w:tc>
          <w:tcPr>
            <w:tcW w:type="dxa" w:w="1656"/>
            <w:tcMar>
              <w:top w:w="55" w:type="dxa"/>
              <w:start w:w="70" w:type="dxa"/>
              <w:bottom w:w="55" w:type="dxa"/>
              <w:end w:w="70" w:type="dxa"/>
            </w:tcMar>
            <w:vAlign w:val="top"/>
          </w:tcPr>
          <w:p>
            <w:pPr>
              <w:spacing w:after="10" w:line="240" w:lineRule="auto"/>
            </w:pPr>
            <w:r>
              <w:rPr>
                <w:rFonts w:ascii="Arial" w:hAnsi="Arial"/>
                <w:sz w:val="10"/>
              </w:rPr>
              <w:t>NCT06703606</w:t>
            </w:r>
          </w:p>
        </w:tc>
        <w:tc>
          <w:tcPr>
            <w:tcW w:type="dxa" w:w="1296"/>
            <w:tcMar>
              <w:top w:w="55" w:type="dxa"/>
              <w:start w:w="70" w:type="dxa"/>
              <w:bottom w:w="55" w:type="dxa"/>
              <w:end w:w="70" w:type="dxa"/>
            </w:tcMar>
            <w:vAlign w:val="top"/>
          </w:tcPr>
          <w:p>
            <w:pPr>
              <w:spacing w:after="10" w:line="240" w:lineRule="auto"/>
            </w:pPr>
            <w:r>
              <w:rPr>
                <w:rFonts w:ascii="Arial" w:hAnsi="Arial"/>
                <w:sz w:val="10"/>
              </w:rPr>
              <w:t>Global marketed</w:t>
            </w:r>
          </w:p>
        </w:tc>
        <w:tc>
          <w:tcPr>
            <w:tcW w:type="dxa" w:w="1872"/>
            <w:tcMar>
              <w:top w:w="55" w:type="dxa"/>
              <w:start w:w="70" w:type="dxa"/>
              <w:bottom w:w="55" w:type="dxa"/>
              <w:end w:w="70" w:type="dxa"/>
            </w:tcMar>
            <w:vAlign w:val="top"/>
          </w:tcPr>
          <w:p>
            <w:pPr>
              <w:spacing w:after="10" w:line="240" w:lineRule="auto"/>
            </w:pPr>
            <w:r>
              <w:rPr>
                <w:rFonts w:ascii="Arial" w:hAnsi="Arial"/>
                <w:sz w:val="10"/>
              </w:rPr>
              <w:t>Likely private/rare-disease path</w:t>
            </w:r>
          </w:p>
        </w:tc>
      </w:tr>
      <w:tr>
        <w:trPr>
          <w:cantSplit/>
        </w:trPr>
        <w:tc>
          <w:tcPr>
            <w:tcW w:type="dxa" w:w="1296"/>
            <w:shd w:fill="F7F7F7"/>
            <w:tcMar>
              <w:top w:w="55" w:type="dxa"/>
              <w:start w:w="70" w:type="dxa"/>
              <w:bottom w:w="55" w:type="dxa"/>
              <w:end w:w="70" w:type="dxa"/>
            </w:tcMar>
            <w:vAlign w:val="top"/>
          </w:tcPr>
          <w:p>
            <w:pPr>
              <w:spacing w:after="10" w:line="240" w:lineRule="auto"/>
            </w:pPr>
            <w:r>
              <w:rPr>
                <w:rFonts w:ascii="Arial" w:hAnsi="Arial"/>
                <w:b/>
                <w:sz w:val="10"/>
              </w:rPr>
              <w:t>Osivelotor</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0"/>
              </w:rPr>
              <w:t>N/A</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0"/>
              </w:rPr>
              <w:t>Sickle-cell disease</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0"/>
              </w:rPr>
              <w:t>HbS polymerisation modifier</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0"/>
              </w:rPr>
              <w:t>Pfizer</w:t>
            </w:r>
          </w:p>
        </w:tc>
        <w:tc>
          <w:tcPr>
            <w:tcW w:type="dxa" w:w="792"/>
            <w:shd w:fill="F7F7F7"/>
            <w:tcMar>
              <w:top w:w="55" w:type="dxa"/>
              <w:start w:w="70" w:type="dxa"/>
              <w:bottom w:w="55" w:type="dxa"/>
              <w:end w:w="70" w:type="dxa"/>
            </w:tcMar>
            <w:vAlign w:val="top"/>
          </w:tcPr>
          <w:p>
            <w:pPr>
              <w:spacing w:after="10" w:line="240" w:lineRule="auto"/>
            </w:pPr>
            <w:r>
              <w:rPr>
                <w:rFonts w:ascii="Arial" w:hAnsi="Arial"/>
                <w:sz w:val="10"/>
              </w:rPr>
              <w:t>India</w:t>
            </w:r>
          </w:p>
        </w:tc>
        <w:tc>
          <w:tcPr>
            <w:tcW w:type="dxa" w:w="864"/>
            <w:shd w:fill="F7F7F7"/>
            <w:tcMar>
              <w:top w:w="55" w:type="dxa"/>
              <w:start w:w="70" w:type="dxa"/>
              <w:bottom w:w="55" w:type="dxa"/>
              <w:end w:w="70" w:type="dxa"/>
            </w:tcMar>
            <w:vAlign w:val="top"/>
          </w:tcPr>
          <w:p>
            <w:pPr>
              <w:spacing w:after="10" w:line="240" w:lineRule="auto"/>
            </w:pPr>
            <w:r>
              <w:rPr>
                <w:rFonts w:ascii="Arial" w:hAnsi="Arial"/>
                <w:sz w:val="10"/>
              </w:rPr>
              <w:t>Phase 2/3</w:t>
            </w:r>
          </w:p>
        </w:tc>
        <w:tc>
          <w:tcPr>
            <w:tcW w:type="dxa" w:w="1152"/>
            <w:shd w:fill="F7F7F7"/>
            <w:tcMar>
              <w:top w:w="55" w:type="dxa"/>
              <w:start w:w="70" w:type="dxa"/>
              <w:bottom w:w="55" w:type="dxa"/>
              <w:end w:w="70" w:type="dxa"/>
            </w:tcMar>
            <w:vAlign w:val="top"/>
          </w:tcPr>
          <w:p>
            <w:pPr>
              <w:spacing w:after="10" w:line="240" w:lineRule="auto"/>
            </w:pPr>
            <w:r>
              <w:rPr>
                <w:rFonts w:ascii="Arial" w:hAnsi="Arial"/>
                <w:sz w:val="10"/>
              </w:rPr>
              <w:t>Recruiting</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0"/>
              </w:rPr>
              <w:t>NCT05431088</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0"/>
              </w:rPr>
              <w:t>Development</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0"/>
              </w:rPr>
              <w:t>No credible listed path</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0"/>
              </w:rPr>
              <w:t>Sigvotatug vedotin combo</w:t>
            </w:r>
          </w:p>
        </w:tc>
        <w:tc>
          <w:tcPr>
            <w:tcW w:type="dxa" w:w="1008"/>
            <w:tcMar>
              <w:top w:w="55" w:type="dxa"/>
              <w:start w:w="70" w:type="dxa"/>
              <w:bottom w:w="55" w:type="dxa"/>
              <w:end w:w="70" w:type="dxa"/>
            </w:tcMar>
            <w:vAlign w:val="top"/>
          </w:tcPr>
          <w:p>
            <w:pPr>
              <w:spacing w:after="10" w:line="240" w:lineRule="auto"/>
            </w:pPr>
            <w:r>
              <w:rPr>
                <w:rFonts w:ascii="Arial" w:hAnsi="Arial"/>
                <w:sz w:val="10"/>
              </w:rPr>
              <w:t>N/A</w:t>
            </w:r>
          </w:p>
        </w:tc>
        <w:tc>
          <w:tcPr>
            <w:tcW w:type="dxa" w:w="1440"/>
            <w:tcMar>
              <w:top w:w="55" w:type="dxa"/>
              <w:start w:w="70" w:type="dxa"/>
              <w:bottom w:w="55" w:type="dxa"/>
              <w:end w:w="70" w:type="dxa"/>
            </w:tcMar>
            <w:vAlign w:val="top"/>
          </w:tcPr>
          <w:p>
            <w:pPr>
              <w:spacing w:after="10" w:line="240" w:lineRule="auto"/>
            </w:pPr>
            <w:r>
              <w:rPr>
                <w:rFonts w:ascii="Arial" w:hAnsi="Arial"/>
                <w:sz w:val="10"/>
              </w:rPr>
              <w:t>NSCLC</w:t>
            </w:r>
          </w:p>
        </w:tc>
        <w:tc>
          <w:tcPr>
            <w:tcW w:type="dxa" w:w="1800"/>
            <w:tcMar>
              <w:top w:w="55" w:type="dxa"/>
              <w:start w:w="70" w:type="dxa"/>
              <w:bottom w:w="55" w:type="dxa"/>
              <w:end w:w="70" w:type="dxa"/>
            </w:tcMar>
            <w:vAlign w:val="top"/>
          </w:tcPr>
          <w:p>
            <w:pPr>
              <w:spacing w:after="10" w:line="240" w:lineRule="auto"/>
            </w:pPr>
            <w:r>
              <w:rPr>
                <w:rFonts w:ascii="Arial" w:hAnsi="Arial"/>
                <w:sz w:val="10"/>
              </w:rPr>
              <w:t>PD-L1-directed ADC</w:t>
            </w:r>
          </w:p>
        </w:tc>
        <w:tc>
          <w:tcPr>
            <w:tcW w:type="dxa" w:w="936"/>
            <w:tcMar>
              <w:top w:w="55" w:type="dxa"/>
              <w:start w:w="70" w:type="dxa"/>
              <w:bottom w:w="55" w:type="dxa"/>
              <w:end w:w="70" w:type="dxa"/>
            </w:tcMar>
            <w:vAlign w:val="top"/>
          </w:tcPr>
          <w:p>
            <w:pPr>
              <w:spacing w:after="10" w:line="240" w:lineRule="auto"/>
            </w:pPr>
            <w:r>
              <w:rPr>
                <w:rFonts w:ascii="Arial" w:hAnsi="Arial"/>
                <w:sz w:val="10"/>
              </w:rPr>
              <w:t>Pfizer/Seagen</w:t>
            </w:r>
          </w:p>
        </w:tc>
        <w:tc>
          <w:tcPr>
            <w:tcW w:type="dxa" w:w="792"/>
            <w:tcMar>
              <w:top w:w="55" w:type="dxa"/>
              <w:start w:w="70" w:type="dxa"/>
              <w:bottom w:w="55" w:type="dxa"/>
              <w:end w:w="70" w:type="dxa"/>
            </w:tcMar>
            <w:vAlign w:val="top"/>
          </w:tcPr>
          <w:p>
            <w:pPr>
              <w:spacing w:after="10" w:line="240" w:lineRule="auto"/>
            </w:pPr>
            <w:r>
              <w:rPr>
                <w:rFonts w:ascii="Arial" w:hAnsi="Arial"/>
                <w:sz w:val="10"/>
              </w:rPr>
              <w:t>India</w:t>
            </w:r>
          </w:p>
        </w:tc>
        <w:tc>
          <w:tcPr>
            <w:tcW w:type="dxa" w:w="864"/>
            <w:tcMar>
              <w:top w:w="55" w:type="dxa"/>
              <w:start w:w="70" w:type="dxa"/>
              <w:bottom w:w="55" w:type="dxa"/>
              <w:end w:w="70" w:type="dxa"/>
            </w:tcMar>
            <w:vAlign w:val="top"/>
          </w:tcPr>
          <w:p>
            <w:pPr>
              <w:spacing w:after="10" w:line="240" w:lineRule="auto"/>
            </w:pPr>
            <w:r>
              <w:rPr>
                <w:rFonts w:ascii="Arial" w:hAnsi="Arial"/>
                <w:sz w:val="10"/>
              </w:rPr>
              <w:t>Phase 3</w:t>
            </w:r>
          </w:p>
        </w:tc>
        <w:tc>
          <w:tcPr>
            <w:tcW w:type="dxa" w:w="1152"/>
            <w:tcMar>
              <w:top w:w="55" w:type="dxa"/>
              <w:start w:w="70" w:type="dxa"/>
              <w:bottom w:w="55" w:type="dxa"/>
              <w:end w:w="70" w:type="dxa"/>
            </w:tcMar>
            <w:vAlign w:val="top"/>
          </w:tcPr>
          <w:p>
            <w:pPr>
              <w:spacing w:after="10" w:line="240" w:lineRule="auto"/>
            </w:pPr>
            <w:r>
              <w:rPr>
                <w:rFonts w:ascii="Arial" w:hAnsi="Arial"/>
                <w:sz w:val="10"/>
              </w:rPr>
              <w:t>Recruiting</w:t>
            </w:r>
          </w:p>
        </w:tc>
        <w:tc>
          <w:tcPr>
            <w:tcW w:type="dxa" w:w="1656"/>
            <w:tcMar>
              <w:top w:w="55" w:type="dxa"/>
              <w:start w:w="70" w:type="dxa"/>
              <w:bottom w:w="55" w:type="dxa"/>
              <w:end w:w="70" w:type="dxa"/>
            </w:tcMar>
            <w:vAlign w:val="top"/>
          </w:tcPr>
          <w:p>
            <w:pPr>
              <w:spacing w:after="10" w:line="240" w:lineRule="auto"/>
            </w:pPr>
            <w:r>
              <w:rPr>
                <w:rFonts w:ascii="Arial" w:hAnsi="Arial"/>
                <w:sz w:val="10"/>
              </w:rPr>
              <w:t>NCT06758401</w:t>
            </w:r>
          </w:p>
        </w:tc>
        <w:tc>
          <w:tcPr>
            <w:tcW w:type="dxa" w:w="1296"/>
            <w:tcMar>
              <w:top w:w="55" w:type="dxa"/>
              <w:start w:w="70" w:type="dxa"/>
              <w:bottom w:w="55" w:type="dxa"/>
              <w:end w:w="70" w:type="dxa"/>
            </w:tcMar>
            <w:vAlign w:val="top"/>
          </w:tcPr>
          <w:p>
            <w:pPr>
              <w:spacing w:after="10" w:line="240" w:lineRule="auto"/>
            </w:pPr>
            <w:r>
              <w:rPr>
                <w:rFonts w:ascii="Arial" w:hAnsi="Arial"/>
                <w:sz w:val="10"/>
              </w:rPr>
              <w:t>Development</w:t>
            </w:r>
          </w:p>
        </w:tc>
        <w:tc>
          <w:tcPr>
            <w:tcW w:type="dxa" w:w="1872"/>
            <w:tcMar>
              <w:top w:w="55" w:type="dxa"/>
              <w:start w:w="70" w:type="dxa"/>
              <w:bottom w:w="55" w:type="dxa"/>
              <w:end w:w="70" w:type="dxa"/>
            </w:tcMar>
            <w:vAlign w:val="top"/>
          </w:tcPr>
          <w:p>
            <w:pPr>
              <w:spacing w:after="10" w:line="240" w:lineRule="auto"/>
            </w:pPr>
            <w:r>
              <w:rPr>
                <w:rFonts w:ascii="Arial" w:hAnsi="Arial"/>
                <w:sz w:val="10"/>
              </w:rPr>
              <w:t>Oncology/private precedent</w:t>
            </w:r>
          </w:p>
        </w:tc>
      </w:tr>
      <w:tr>
        <w:trPr>
          <w:cantSplit/>
        </w:trPr>
        <w:tc>
          <w:tcPr>
            <w:tcW w:type="dxa" w:w="1296"/>
            <w:shd w:fill="F7F7F7"/>
            <w:tcMar>
              <w:top w:w="55" w:type="dxa"/>
              <w:start w:w="70" w:type="dxa"/>
              <w:bottom w:w="55" w:type="dxa"/>
              <w:end w:w="70" w:type="dxa"/>
            </w:tcMar>
            <w:vAlign w:val="top"/>
          </w:tcPr>
          <w:p>
            <w:pPr>
              <w:spacing w:after="10" w:line="240" w:lineRule="auto"/>
            </w:pPr>
            <w:r>
              <w:rPr>
                <w:rFonts w:ascii="Arial" w:hAnsi="Arial"/>
                <w:b/>
                <w:sz w:val="10"/>
              </w:rPr>
              <w:t>PF-08046054</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0"/>
              </w:rPr>
              <w:t>N/A</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0"/>
              </w:rPr>
              <w:t>NSCLC</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0"/>
              </w:rPr>
              <w:t>ADC</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0"/>
              </w:rPr>
              <w:t>Pfizer/Seagen</w:t>
            </w:r>
          </w:p>
        </w:tc>
        <w:tc>
          <w:tcPr>
            <w:tcW w:type="dxa" w:w="792"/>
            <w:shd w:fill="F7F7F7"/>
            <w:tcMar>
              <w:top w:w="55" w:type="dxa"/>
              <w:start w:w="70" w:type="dxa"/>
              <w:bottom w:w="55" w:type="dxa"/>
              <w:end w:w="70" w:type="dxa"/>
            </w:tcMar>
            <w:vAlign w:val="top"/>
          </w:tcPr>
          <w:p>
            <w:pPr>
              <w:spacing w:after="10" w:line="240" w:lineRule="auto"/>
            </w:pPr>
            <w:r>
              <w:rPr>
                <w:rFonts w:ascii="Arial" w:hAnsi="Arial"/>
                <w:sz w:val="10"/>
              </w:rPr>
              <w:t>India</w:t>
            </w:r>
          </w:p>
        </w:tc>
        <w:tc>
          <w:tcPr>
            <w:tcW w:type="dxa" w:w="864"/>
            <w:shd w:fill="F7F7F7"/>
            <w:tcMar>
              <w:top w:w="55" w:type="dxa"/>
              <w:start w:w="70" w:type="dxa"/>
              <w:bottom w:w="55" w:type="dxa"/>
              <w:end w:w="70" w:type="dxa"/>
            </w:tcMar>
            <w:vAlign w:val="top"/>
          </w:tcPr>
          <w:p>
            <w:pPr>
              <w:spacing w:after="10" w:line="240" w:lineRule="auto"/>
            </w:pPr>
            <w:r>
              <w:rPr>
                <w:rFonts w:ascii="Arial" w:hAnsi="Arial"/>
                <w:sz w:val="10"/>
              </w:rPr>
              <w:t>Phase 3</w:t>
            </w:r>
          </w:p>
        </w:tc>
        <w:tc>
          <w:tcPr>
            <w:tcW w:type="dxa" w:w="1152"/>
            <w:shd w:fill="F7F7F7"/>
            <w:tcMar>
              <w:top w:w="55" w:type="dxa"/>
              <w:start w:w="70" w:type="dxa"/>
              <w:bottom w:w="55" w:type="dxa"/>
              <w:end w:w="70" w:type="dxa"/>
            </w:tcMar>
            <w:vAlign w:val="top"/>
          </w:tcPr>
          <w:p>
            <w:pPr>
              <w:spacing w:after="10" w:line="240" w:lineRule="auto"/>
            </w:pPr>
            <w:r>
              <w:rPr>
                <w:rFonts w:ascii="Arial" w:hAnsi="Arial"/>
                <w:sz w:val="10"/>
              </w:rPr>
              <w:t>Recruiting</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0"/>
              </w:rPr>
              <w:t>NCT07144280</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0"/>
              </w:rPr>
              <w:t>Development</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0"/>
              </w:rPr>
              <w:t>No credible listed path</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0"/>
              </w:rPr>
              <w:t>PF-07220060</w:t>
            </w:r>
          </w:p>
        </w:tc>
        <w:tc>
          <w:tcPr>
            <w:tcW w:type="dxa" w:w="1008"/>
            <w:tcMar>
              <w:top w:w="55" w:type="dxa"/>
              <w:start w:w="70" w:type="dxa"/>
              <w:bottom w:w="55" w:type="dxa"/>
              <w:end w:w="70" w:type="dxa"/>
            </w:tcMar>
            <w:vAlign w:val="top"/>
          </w:tcPr>
          <w:p>
            <w:pPr>
              <w:spacing w:after="10" w:line="240" w:lineRule="auto"/>
            </w:pPr>
            <w:r>
              <w:rPr>
                <w:rFonts w:ascii="Arial" w:hAnsi="Arial"/>
                <w:sz w:val="10"/>
              </w:rPr>
              <w:t>N/A</w:t>
            </w:r>
          </w:p>
        </w:tc>
        <w:tc>
          <w:tcPr>
            <w:tcW w:type="dxa" w:w="1440"/>
            <w:tcMar>
              <w:top w:w="55" w:type="dxa"/>
              <w:start w:w="70" w:type="dxa"/>
              <w:bottom w:w="55" w:type="dxa"/>
              <w:end w:w="70" w:type="dxa"/>
            </w:tcMar>
            <w:vAlign w:val="top"/>
          </w:tcPr>
          <w:p>
            <w:pPr>
              <w:spacing w:after="10" w:line="240" w:lineRule="auto"/>
            </w:pPr>
            <w:r>
              <w:rPr>
                <w:rFonts w:ascii="Arial" w:hAnsi="Arial"/>
                <w:sz w:val="10"/>
              </w:rPr>
              <w:t>Breast cancer</w:t>
            </w:r>
          </w:p>
        </w:tc>
        <w:tc>
          <w:tcPr>
            <w:tcW w:type="dxa" w:w="1800"/>
            <w:tcMar>
              <w:top w:w="55" w:type="dxa"/>
              <w:start w:w="70" w:type="dxa"/>
              <w:bottom w:w="55" w:type="dxa"/>
              <w:end w:w="70" w:type="dxa"/>
            </w:tcMar>
            <w:vAlign w:val="top"/>
          </w:tcPr>
          <w:p>
            <w:pPr>
              <w:spacing w:after="10" w:line="240" w:lineRule="auto"/>
            </w:pPr>
            <w:r>
              <w:rPr>
                <w:rFonts w:ascii="Arial" w:hAnsi="Arial"/>
                <w:sz w:val="10"/>
              </w:rPr>
              <w:t>CDK4 inhibitor</w:t>
            </w:r>
          </w:p>
        </w:tc>
        <w:tc>
          <w:tcPr>
            <w:tcW w:type="dxa" w:w="936"/>
            <w:tcMar>
              <w:top w:w="55" w:type="dxa"/>
              <w:start w:w="70" w:type="dxa"/>
              <w:bottom w:w="55" w:type="dxa"/>
              <w:end w:w="70" w:type="dxa"/>
            </w:tcMar>
            <w:vAlign w:val="top"/>
          </w:tcPr>
          <w:p>
            <w:pPr>
              <w:spacing w:after="10" w:line="240" w:lineRule="auto"/>
            </w:pPr>
            <w:r>
              <w:rPr>
                <w:rFonts w:ascii="Arial" w:hAnsi="Arial"/>
                <w:sz w:val="10"/>
              </w:rPr>
              <w:t>Pfizer</w:t>
            </w:r>
          </w:p>
        </w:tc>
        <w:tc>
          <w:tcPr>
            <w:tcW w:type="dxa" w:w="792"/>
            <w:tcMar>
              <w:top w:w="55" w:type="dxa"/>
              <w:start w:w="70" w:type="dxa"/>
              <w:bottom w:w="55" w:type="dxa"/>
              <w:end w:w="70" w:type="dxa"/>
            </w:tcMar>
            <w:vAlign w:val="top"/>
          </w:tcPr>
          <w:p>
            <w:pPr>
              <w:spacing w:after="10" w:line="240" w:lineRule="auto"/>
            </w:pPr>
            <w:r>
              <w:rPr>
                <w:rFonts w:ascii="Arial" w:hAnsi="Arial"/>
                <w:sz w:val="10"/>
              </w:rPr>
              <w:t>India</w:t>
            </w:r>
          </w:p>
        </w:tc>
        <w:tc>
          <w:tcPr>
            <w:tcW w:type="dxa" w:w="864"/>
            <w:tcMar>
              <w:top w:w="55" w:type="dxa"/>
              <w:start w:w="70" w:type="dxa"/>
              <w:bottom w:w="55" w:type="dxa"/>
              <w:end w:w="70" w:type="dxa"/>
            </w:tcMar>
            <w:vAlign w:val="top"/>
          </w:tcPr>
          <w:p>
            <w:pPr>
              <w:spacing w:after="10" w:line="240" w:lineRule="auto"/>
            </w:pPr>
            <w:r>
              <w:rPr>
                <w:rFonts w:ascii="Arial" w:hAnsi="Arial"/>
                <w:sz w:val="10"/>
              </w:rPr>
              <w:t>Phase 2</w:t>
            </w:r>
          </w:p>
        </w:tc>
        <w:tc>
          <w:tcPr>
            <w:tcW w:type="dxa" w:w="1152"/>
            <w:tcMar>
              <w:top w:w="55" w:type="dxa"/>
              <w:start w:w="70" w:type="dxa"/>
              <w:bottom w:w="55" w:type="dxa"/>
              <w:end w:w="70" w:type="dxa"/>
            </w:tcMar>
            <w:vAlign w:val="top"/>
          </w:tcPr>
          <w:p>
            <w:pPr>
              <w:spacing w:after="10" w:line="240" w:lineRule="auto"/>
            </w:pPr>
            <w:r>
              <w:rPr>
                <w:rFonts w:ascii="Arial" w:hAnsi="Arial"/>
                <w:sz w:val="10"/>
              </w:rPr>
              <w:t>Active</w:t>
            </w:r>
          </w:p>
        </w:tc>
        <w:tc>
          <w:tcPr>
            <w:tcW w:type="dxa" w:w="1656"/>
            <w:tcMar>
              <w:top w:w="55" w:type="dxa"/>
              <w:start w:w="70" w:type="dxa"/>
              <w:bottom w:w="55" w:type="dxa"/>
              <w:end w:w="70" w:type="dxa"/>
            </w:tcMar>
            <w:vAlign w:val="top"/>
          </w:tcPr>
          <w:p>
            <w:pPr>
              <w:spacing w:after="10" w:line="240" w:lineRule="auto"/>
            </w:pPr>
            <w:r>
              <w:rPr>
                <w:rFonts w:ascii="Arial" w:hAnsi="Arial"/>
                <w:sz w:val="10"/>
              </w:rPr>
              <w:t>NCT06105632</w:t>
            </w:r>
          </w:p>
        </w:tc>
        <w:tc>
          <w:tcPr>
            <w:tcW w:type="dxa" w:w="1296"/>
            <w:tcMar>
              <w:top w:w="55" w:type="dxa"/>
              <w:start w:w="70" w:type="dxa"/>
              <w:bottom w:w="55" w:type="dxa"/>
              <w:end w:w="70" w:type="dxa"/>
            </w:tcMar>
            <w:vAlign w:val="top"/>
          </w:tcPr>
          <w:p>
            <w:pPr>
              <w:spacing w:after="10" w:line="240" w:lineRule="auto"/>
            </w:pPr>
            <w:r>
              <w:rPr>
                <w:rFonts w:ascii="Arial" w:hAnsi="Arial"/>
                <w:sz w:val="10"/>
              </w:rPr>
              <w:t>Development</w:t>
            </w:r>
          </w:p>
        </w:tc>
        <w:tc>
          <w:tcPr>
            <w:tcW w:type="dxa" w:w="1872"/>
            <w:tcMar>
              <w:top w:w="55" w:type="dxa"/>
              <w:start w:w="70" w:type="dxa"/>
              <w:bottom w:w="55" w:type="dxa"/>
              <w:end w:w="70" w:type="dxa"/>
            </w:tcMar>
            <w:vAlign w:val="top"/>
          </w:tcPr>
          <w:p>
            <w:pPr>
              <w:spacing w:after="10" w:line="240" w:lineRule="auto"/>
            </w:pPr>
            <w:r>
              <w:rPr>
                <w:rFonts w:ascii="Arial" w:hAnsi="Arial"/>
                <w:sz w:val="10"/>
              </w:rPr>
              <w:t>No credible listed path</w:t>
            </w:r>
          </w:p>
        </w:tc>
      </w:tr>
      <w:tr>
        <w:trPr>
          <w:cantSplit/>
        </w:trPr>
        <w:tc>
          <w:tcPr>
            <w:tcW w:type="dxa" w:w="1296"/>
            <w:shd w:fill="F7F7F7"/>
            <w:tcMar>
              <w:top w:w="55" w:type="dxa"/>
              <w:start w:w="70" w:type="dxa"/>
              <w:bottom w:w="55" w:type="dxa"/>
              <w:end w:w="70" w:type="dxa"/>
            </w:tcMar>
            <w:vAlign w:val="top"/>
          </w:tcPr>
          <w:p>
            <w:pPr>
              <w:spacing w:after="10" w:line="240" w:lineRule="auto"/>
            </w:pPr>
            <w:r>
              <w:rPr>
                <w:rFonts w:ascii="Arial" w:hAnsi="Arial"/>
                <w:b/>
                <w:sz w:val="10"/>
              </w:rPr>
              <w:t>Talazoparib + enzalutamide</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0"/>
              </w:rPr>
              <w:t>Talzenna combo</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0"/>
              </w:rPr>
              <w:t>Prostate cancer</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0"/>
              </w:rPr>
              <w:t>PARP + androgen receptor blockade</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0"/>
              </w:rPr>
              <w:t>Pfizer</w:t>
            </w:r>
          </w:p>
        </w:tc>
        <w:tc>
          <w:tcPr>
            <w:tcW w:type="dxa" w:w="792"/>
            <w:shd w:fill="F7F7F7"/>
            <w:tcMar>
              <w:top w:w="55" w:type="dxa"/>
              <w:start w:w="70" w:type="dxa"/>
              <w:bottom w:w="55" w:type="dxa"/>
              <w:end w:w="70" w:type="dxa"/>
            </w:tcMar>
            <w:vAlign w:val="top"/>
          </w:tcPr>
          <w:p>
            <w:pPr>
              <w:spacing w:after="10" w:line="240" w:lineRule="auto"/>
            </w:pPr>
            <w:r>
              <w:rPr>
                <w:rFonts w:ascii="Arial" w:hAnsi="Arial"/>
                <w:sz w:val="10"/>
              </w:rPr>
              <w:t>India</w:t>
            </w:r>
          </w:p>
        </w:tc>
        <w:tc>
          <w:tcPr>
            <w:tcW w:type="dxa" w:w="864"/>
            <w:shd w:fill="F7F7F7"/>
            <w:tcMar>
              <w:top w:w="55" w:type="dxa"/>
              <w:start w:w="70" w:type="dxa"/>
              <w:bottom w:w="55" w:type="dxa"/>
              <w:end w:w="70" w:type="dxa"/>
            </w:tcMar>
            <w:vAlign w:val="top"/>
          </w:tcPr>
          <w:p>
            <w:pPr>
              <w:spacing w:after="10" w:line="240" w:lineRule="auto"/>
            </w:pPr>
            <w:r>
              <w:rPr>
                <w:rFonts w:ascii="Arial" w:hAnsi="Arial"/>
                <w:sz w:val="10"/>
              </w:rPr>
              <w:t>Phase 3</w:t>
            </w:r>
          </w:p>
        </w:tc>
        <w:tc>
          <w:tcPr>
            <w:tcW w:type="dxa" w:w="1152"/>
            <w:shd w:fill="F7F7F7"/>
            <w:tcMar>
              <w:top w:w="55" w:type="dxa"/>
              <w:start w:w="70" w:type="dxa"/>
              <w:bottom w:w="55" w:type="dxa"/>
              <w:end w:w="70" w:type="dxa"/>
            </w:tcMar>
            <w:vAlign w:val="top"/>
          </w:tcPr>
          <w:p>
            <w:pPr>
              <w:spacing w:after="10" w:line="240" w:lineRule="auto"/>
            </w:pPr>
            <w:r>
              <w:rPr>
                <w:rFonts w:ascii="Arial" w:hAnsi="Arial"/>
                <w:sz w:val="10"/>
              </w:rPr>
              <w:t>Active</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0"/>
              </w:rPr>
              <w:t>NCT04821622</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0"/>
              </w:rPr>
              <w:t>Global/indication-dependent</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0"/>
              </w:rPr>
              <w:t>Parent asset; likely private</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0"/>
              </w:rPr>
              <w:t>Lorlatinib</w:t>
            </w:r>
          </w:p>
        </w:tc>
        <w:tc>
          <w:tcPr>
            <w:tcW w:type="dxa" w:w="1008"/>
            <w:tcMar>
              <w:top w:w="55" w:type="dxa"/>
              <w:start w:w="70" w:type="dxa"/>
              <w:bottom w:w="55" w:type="dxa"/>
              <w:end w:w="70" w:type="dxa"/>
            </w:tcMar>
            <w:vAlign w:val="top"/>
          </w:tcPr>
          <w:p>
            <w:pPr>
              <w:spacing w:after="10" w:line="240" w:lineRule="auto"/>
            </w:pPr>
            <w:r>
              <w:rPr>
                <w:rFonts w:ascii="Arial" w:hAnsi="Arial"/>
                <w:sz w:val="10"/>
              </w:rPr>
              <w:t>Lorbrena</w:t>
            </w:r>
          </w:p>
        </w:tc>
        <w:tc>
          <w:tcPr>
            <w:tcW w:type="dxa" w:w="1440"/>
            <w:tcMar>
              <w:top w:w="55" w:type="dxa"/>
              <w:start w:w="70" w:type="dxa"/>
              <w:bottom w:w="55" w:type="dxa"/>
              <w:end w:w="70" w:type="dxa"/>
            </w:tcMar>
            <w:vAlign w:val="top"/>
          </w:tcPr>
          <w:p>
            <w:pPr>
              <w:spacing w:after="10" w:line="240" w:lineRule="auto"/>
            </w:pPr>
            <w:r>
              <w:rPr>
                <w:rFonts w:ascii="Arial" w:hAnsi="Arial"/>
                <w:sz w:val="10"/>
              </w:rPr>
              <w:t>ALK+ NSCLC</w:t>
            </w:r>
          </w:p>
        </w:tc>
        <w:tc>
          <w:tcPr>
            <w:tcW w:type="dxa" w:w="1800"/>
            <w:tcMar>
              <w:top w:w="55" w:type="dxa"/>
              <w:start w:w="70" w:type="dxa"/>
              <w:bottom w:w="55" w:type="dxa"/>
              <w:end w:w="70" w:type="dxa"/>
            </w:tcMar>
            <w:vAlign w:val="top"/>
          </w:tcPr>
          <w:p>
            <w:pPr>
              <w:spacing w:after="10" w:line="240" w:lineRule="auto"/>
            </w:pPr>
            <w:r>
              <w:rPr>
                <w:rFonts w:ascii="Arial" w:hAnsi="Arial"/>
                <w:sz w:val="10"/>
              </w:rPr>
              <w:t>ALK/ROS1 TKI</w:t>
            </w:r>
          </w:p>
        </w:tc>
        <w:tc>
          <w:tcPr>
            <w:tcW w:type="dxa" w:w="936"/>
            <w:tcMar>
              <w:top w:w="55" w:type="dxa"/>
              <w:start w:w="70" w:type="dxa"/>
              <w:bottom w:w="55" w:type="dxa"/>
              <w:end w:w="70" w:type="dxa"/>
            </w:tcMar>
            <w:vAlign w:val="top"/>
          </w:tcPr>
          <w:p>
            <w:pPr>
              <w:spacing w:after="10" w:line="240" w:lineRule="auto"/>
            </w:pPr>
            <w:r>
              <w:rPr>
                <w:rFonts w:ascii="Arial" w:hAnsi="Arial"/>
                <w:sz w:val="10"/>
              </w:rPr>
              <w:t>Pfizer</w:t>
            </w:r>
          </w:p>
        </w:tc>
        <w:tc>
          <w:tcPr>
            <w:tcW w:type="dxa" w:w="792"/>
            <w:tcMar>
              <w:top w:w="55" w:type="dxa"/>
              <w:start w:w="70" w:type="dxa"/>
              <w:bottom w:w="55" w:type="dxa"/>
              <w:end w:w="70" w:type="dxa"/>
            </w:tcMar>
            <w:vAlign w:val="top"/>
          </w:tcPr>
          <w:p>
            <w:pPr>
              <w:spacing w:after="10" w:line="240" w:lineRule="auto"/>
            </w:pPr>
            <w:r>
              <w:rPr>
                <w:rFonts w:ascii="Arial" w:hAnsi="Arial"/>
                <w:sz w:val="10"/>
              </w:rPr>
              <w:t>India</w:t>
            </w:r>
          </w:p>
        </w:tc>
        <w:tc>
          <w:tcPr>
            <w:tcW w:type="dxa" w:w="864"/>
            <w:tcMar>
              <w:top w:w="55" w:type="dxa"/>
              <w:start w:w="70" w:type="dxa"/>
              <w:bottom w:w="55" w:type="dxa"/>
              <w:end w:w="70" w:type="dxa"/>
            </w:tcMar>
            <w:vAlign w:val="top"/>
          </w:tcPr>
          <w:p>
            <w:pPr>
              <w:spacing w:after="10" w:line="240" w:lineRule="auto"/>
            </w:pPr>
            <w:r>
              <w:rPr>
                <w:rFonts w:ascii="Arial" w:hAnsi="Arial"/>
                <w:sz w:val="10"/>
              </w:rPr>
              <w:t>Phase 3/4</w:t>
            </w:r>
          </w:p>
        </w:tc>
        <w:tc>
          <w:tcPr>
            <w:tcW w:type="dxa" w:w="1152"/>
            <w:tcMar>
              <w:top w:w="55" w:type="dxa"/>
              <w:start w:w="70" w:type="dxa"/>
              <w:bottom w:w="55" w:type="dxa"/>
              <w:end w:w="70" w:type="dxa"/>
            </w:tcMar>
            <w:vAlign w:val="top"/>
          </w:tcPr>
          <w:p>
            <w:pPr>
              <w:spacing w:after="10" w:line="240" w:lineRule="auto"/>
            </w:pPr>
            <w:r>
              <w:rPr>
                <w:rFonts w:ascii="Arial" w:hAnsi="Arial"/>
                <w:sz w:val="10"/>
              </w:rPr>
              <w:t>Active</w:t>
            </w:r>
          </w:p>
        </w:tc>
        <w:tc>
          <w:tcPr>
            <w:tcW w:type="dxa" w:w="1656"/>
            <w:tcMar>
              <w:top w:w="55" w:type="dxa"/>
              <w:start w:w="70" w:type="dxa"/>
              <w:bottom w:w="55" w:type="dxa"/>
              <w:end w:w="70" w:type="dxa"/>
            </w:tcMar>
            <w:vAlign w:val="top"/>
          </w:tcPr>
          <w:p>
            <w:pPr>
              <w:spacing w:after="10" w:line="240" w:lineRule="auto"/>
            </w:pPr>
            <w:r>
              <w:rPr>
                <w:rFonts w:ascii="Arial" w:hAnsi="Arial"/>
                <w:sz w:val="10"/>
              </w:rPr>
              <w:t>NCT03052608 / NCT05144997</w:t>
            </w:r>
          </w:p>
        </w:tc>
        <w:tc>
          <w:tcPr>
            <w:tcW w:type="dxa" w:w="1296"/>
            <w:tcMar>
              <w:top w:w="55" w:type="dxa"/>
              <w:start w:w="70" w:type="dxa"/>
              <w:bottom w:w="55" w:type="dxa"/>
              <w:end w:w="70" w:type="dxa"/>
            </w:tcMar>
            <w:vAlign w:val="top"/>
          </w:tcPr>
          <w:p>
            <w:pPr>
              <w:spacing w:after="10" w:line="240" w:lineRule="auto"/>
            </w:pPr>
            <w:r>
              <w:rPr>
                <w:rFonts w:ascii="Arial" w:hAnsi="Arial"/>
                <w:sz w:val="10"/>
              </w:rPr>
              <w:t>Global marketed</w:t>
            </w:r>
          </w:p>
        </w:tc>
        <w:tc>
          <w:tcPr>
            <w:tcW w:type="dxa" w:w="1872"/>
            <w:tcMar>
              <w:top w:w="55" w:type="dxa"/>
              <w:start w:w="70" w:type="dxa"/>
              <w:bottom w:w="55" w:type="dxa"/>
              <w:end w:w="70" w:type="dxa"/>
            </w:tcMar>
            <w:vAlign w:val="top"/>
          </w:tcPr>
          <w:p>
            <w:pPr>
              <w:spacing w:after="10" w:line="240" w:lineRule="auto"/>
            </w:pPr>
            <w:r>
              <w:rPr>
                <w:rFonts w:ascii="Arial" w:hAnsi="Arial"/>
                <w:sz w:val="10"/>
              </w:rPr>
              <w:t>Private oncology precedent</w:t>
            </w:r>
          </w:p>
        </w:tc>
      </w:tr>
    </w:tbl>
    <w:p>
      <w:pPr>
        <w:pStyle w:val="ExhibitTitle"/>
      </w:pPr>
      <w:r>
        <w:t>Exhibit 7. India trial activity is much broader than listed-company commercial opportunity</w:t>
      </w:r>
    </w:p>
    <w:p>
      <w:r>
        <w:rPr>
          <w:color w:val="59636E"/>
          <w:sz w:val="15"/>
        </w:rPr>
        <w:t>Only two records support existing listed products. Abrysvo is the clearest new candidate, but trial sponsorship does not establish India commercial rights.</w:t>
      </w:r>
    </w:p>
    <w:p>
      <w:pPr>
        <w:pStyle w:val="Source"/>
      </w:pPr>
      <w:r>
        <w:t>Source: ClinicalTrials.gov individual records, accessed 17 Sep 2026 [S17]. CTRI cross-check could not be independently completed. Duplicate indications and extension studies were consolidated.</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656"/>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Product</w:t>
            </w:r>
          </w:p>
        </w:tc>
        <w:tc>
          <w:tcPr>
            <w:tcW w:type="dxa" w:w="1296"/>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Earliest launch</w:t>
            </w:r>
          </w:p>
        </w:tc>
        <w:tc>
          <w:tcPr>
            <w:tcW w:type="dxa" w:w="1296"/>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Commercial probability</w:t>
            </w:r>
          </w:p>
        </w:tc>
        <w:tc>
          <w:tcPr>
            <w:tcW w:type="dxa" w:w="2880"/>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Eligible pool approach</w:t>
            </w:r>
          </w:p>
        </w:tc>
        <w:tc>
          <w:tcPr>
            <w:tcW w:type="dxa" w:w="1800"/>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Indicative net price</w:t>
            </w:r>
          </w:p>
        </w:tc>
        <w:tc>
          <w:tcPr>
            <w:tcW w:type="dxa" w:w="2016"/>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Revenue estimate</w:t>
            </w:r>
          </w:p>
        </w:tc>
        <w:tc>
          <w:tcPr>
            <w:tcW w:type="dxa" w:w="1152"/>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Confidence</w:t>
            </w:r>
          </w:p>
        </w:tc>
      </w:tr>
      <w:tr>
        <w:trPr>
          <w:cantSplit/>
        </w:trPr>
        <w:tc>
          <w:tcPr>
            <w:tcW w:type="dxa" w:w="1656"/>
            <w:tcMar>
              <w:top w:w="55" w:type="dxa"/>
              <w:start w:w="70" w:type="dxa"/>
              <w:bottom w:w="55" w:type="dxa"/>
              <w:end w:w="70" w:type="dxa"/>
            </w:tcMar>
            <w:vAlign w:val="top"/>
          </w:tcPr>
          <w:p>
            <w:pPr>
              <w:spacing w:after="10" w:line="240" w:lineRule="auto"/>
            </w:pPr>
            <w:r>
              <w:rPr>
                <w:rFonts w:ascii="Arial" w:hAnsi="Arial"/>
                <w:b/>
                <w:sz w:val="13"/>
              </w:rPr>
              <w:t>Prevenar 20</w:t>
            </w:r>
          </w:p>
        </w:tc>
        <w:tc>
          <w:tcPr>
            <w:tcW w:type="dxa" w:w="1296"/>
            <w:tcMar>
              <w:top w:w="55" w:type="dxa"/>
              <w:start w:w="70" w:type="dxa"/>
              <w:bottom w:w="55" w:type="dxa"/>
              <w:end w:w="70" w:type="dxa"/>
            </w:tcMar>
            <w:vAlign w:val="top"/>
          </w:tcPr>
          <w:p>
            <w:pPr>
              <w:spacing w:after="10" w:line="240" w:lineRule="auto"/>
            </w:pPr>
            <w:r>
              <w:rPr>
                <w:rFonts w:ascii="Arial" w:hAnsi="Arial"/>
                <w:sz w:val="13"/>
              </w:rPr>
              <w:t>FY26A</w:t>
            </w:r>
          </w:p>
        </w:tc>
        <w:tc>
          <w:tcPr>
            <w:tcW w:type="dxa" w:w="1296"/>
            <w:tcMar>
              <w:top w:w="55" w:type="dxa"/>
              <w:start w:w="70" w:type="dxa"/>
              <w:bottom w:w="55" w:type="dxa"/>
              <w:end w:w="70" w:type="dxa"/>
            </w:tcMar>
            <w:vAlign w:val="top"/>
          </w:tcPr>
          <w:p>
            <w:pPr>
              <w:spacing w:after="10" w:line="240" w:lineRule="auto"/>
            </w:pPr>
            <w:r>
              <w:rPr>
                <w:rFonts w:ascii="Arial" w:hAnsi="Arial"/>
                <w:sz w:val="13"/>
              </w:rPr>
              <w:t>100%</w:t>
            </w:r>
          </w:p>
        </w:tc>
        <w:tc>
          <w:tcPr>
            <w:tcW w:type="dxa" w:w="2880"/>
            <w:tcMar>
              <w:top w:w="55" w:type="dxa"/>
              <w:start w:w="70" w:type="dxa"/>
              <w:bottom w:w="55" w:type="dxa"/>
              <w:end w:w="70" w:type="dxa"/>
            </w:tcMar>
            <w:vAlign w:val="top"/>
          </w:tcPr>
          <w:p>
            <w:pPr>
              <w:spacing w:after="10" w:line="240" w:lineRule="auto"/>
            </w:pPr>
            <w:r>
              <w:rPr>
                <w:rFonts w:ascii="Arial" w:hAnsi="Arial"/>
                <w:sz w:val="13"/>
              </w:rPr>
              <w:t>Existing eligible adult private-pay segment</w:t>
            </w:r>
          </w:p>
        </w:tc>
        <w:tc>
          <w:tcPr>
            <w:tcW w:type="dxa" w:w="1800"/>
            <w:tcMar>
              <w:top w:w="55" w:type="dxa"/>
              <w:start w:w="70" w:type="dxa"/>
              <w:bottom w:w="55" w:type="dxa"/>
              <w:end w:w="70" w:type="dxa"/>
            </w:tcMar>
            <w:vAlign w:val="top"/>
          </w:tcPr>
          <w:p>
            <w:pPr>
              <w:spacing w:after="10" w:line="240" w:lineRule="auto"/>
            </w:pPr>
            <w:r>
              <w:rPr>
                <w:rFonts w:ascii="Arial" w:hAnsi="Arial"/>
                <w:sz w:val="13"/>
              </w:rPr>
              <w:t>Company list price ₹5,555/dose</w:t>
            </w:r>
          </w:p>
        </w:tc>
        <w:tc>
          <w:tcPr>
            <w:tcW w:type="dxa" w:w="2016"/>
            <w:tcMar>
              <w:top w:w="55" w:type="dxa"/>
              <w:start w:w="70" w:type="dxa"/>
              <w:bottom w:w="55" w:type="dxa"/>
              <w:end w:w="70" w:type="dxa"/>
            </w:tcMar>
            <w:vAlign w:val="top"/>
          </w:tcPr>
          <w:p>
            <w:pPr>
              <w:spacing w:after="10" w:line="240" w:lineRule="auto"/>
            </w:pPr>
            <w:r>
              <w:rPr>
                <w:rFonts w:ascii="Arial" w:hAnsi="Arial"/>
                <w:sz w:val="13"/>
              </w:rPr>
              <w:t>Included in vaccine forecast</w:t>
            </w:r>
          </w:p>
        </w:tc>
        <w:tc>
          <w:tcPr>
            <w:tcW w:type="dxa" w:w="1152"/>
            <w:tcMar>
              <w:top w:w="55" w:type="dxa"/>
              <w:start w:w="70" w:type="dxa"/>
              <w:bottom w:w="55" w:type="dxa"/>
              <w:end w:w="70" w:type="dxa"/>
            </w:tcMar>
            <w:vAlign w:val="top"/>
          </w:tcPr>
          <w:p>
            <w:pPr>
              <w:spacing w:after="10" w:line="240" w:lineRule="auto"/>
            </w:pPr>
            <w:r>
              <w:rPr>
                <w:rFonts w:ascii="Arial" w:hAnsi="Arial"/>
                <w:sz w:val="13"/>
              </w:rPr>
              <w:t>High</w:t>
            </w:r>
          </w:p>
        </w:tc>
      </w:tr>
      <w:tr>
        <w:trPr>
          <w:cantSplit/>
        </w:trPr>
        <w:tc>
          <w:tcPr>
            <w:tcW w:type="dxa" w:w="1656"/>
            <w:shd w:fill="F7F7F7"/>
            <w:tcMar>
              <w:top w:w="55" w:type="dxa"/>
              <w:start w:w="70" w:type="dxa"/>
              <w:bottom w:w="55" w:type="dxa"/>
              <w:end w:w="70" w:type="dxa"/>
            </w:tcMar>
            <w:vAlign w:val="top"/>
          </w:tcPr>
          <w:p>
            <w:pPr>
              <w:spacing w:after="10" w:line="240" w:lineRule="auto"/>
            </w:pPr>
            <w:r>
              <w:rPr>
                <w:rFonts w:ascii="Arial" w:hAnsi="Arial"/>
                <w:b/>
                <w:sz w:val="13"/>
              </w:rPr>
              <w:t>Nurtec ODT</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3"/>
              </w:rPr>
              <w:t>FY26A</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3"/>
              </w:rPr>
              <w:t>100%</w:t>
            </w:r>
          </w:p>
        </w:tc>
        <w:tc>
          <w:tcPr>
            <w:tcW w:type="dxa" w:w="2880"/>
            <w:shd w:fill="F7F7F7"/>
            <w:tcMar>
              <w:top w:w="55" w:type="dxa"/>
              <w:start w:w="70" w:type="dxa"/>
              <w:bottom w:w="55" w:type="dxa"/>
              <w:end w:w="70" w:type="dxa"/>
            </w:tcMar>
            <w:vAlign w:val="top"/>
          </w:tcPr>
          <w:p>
            <w:pPr>
              <w:spacing w:after="10" w:line="240" w:lineRule="auto"/>
            </w:pPr>
            <w:r>
              <w:rPr>
                <w:rFonts w:ascii="Arial" w:hAnsi="Arial"/>
                <w:sz w:val="13"/>
              </w:rPr>
              <w:t>Treated migraine patients with insufficient triptan response</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3"/>
              </w:rPr>
              <w:t>₹6,000 per 4 doses equivalent; actual pack ₹12,000/8</w:t>
            </w:r>
          </w:p>
        </w:tc>
        <w:tc>
          <w:tcPr>
            <w:tcW w:type="dxa" w:w="2016"/>
            <w:shd w:fill="F7F7F7"/>
            <w:tcMar>
              <w:top w:w="55" w:type="dxa"/>
              <w:start w:w="70" w:type="dxa"/>
              <w:bottom w:w="55" w:type="dxa"/>
              <w:end w:w="70" w:type="dxa"/>
            </w:tcMar>
            <w:vAlign w:val="top"/>
          </w:tcPr>
          <w:p>
            <w:pPr>
              <w:spacing w:after="10" w:line="240" w:lineRule="auto"/>
            </w:pPr>
            <w:r>
              <w:rPr>
                <w:rFonts w:ascii="Arial" w:hAnsi="Arial"/>
                <w:sz w:val="13"/>
              </w:rPr>
              <w:t>FY30E ₹110cr</w:t>
            </w:r>
          </w:p>
        </w:tc>
        <w:tc>
          <w:tcPr>
            <w:tcW w:type="dxa" w:w="1152"/>
            <w:shd w:fill="F7F7F7"/>
            <w:tcMar>
              <w:top w:w="55" w:type="dxa"/>
              <w:start w:w="70" w:type="dxa"/>
              <w:bottom w:w="55" w:type="dxa"/>
              <w:end w:w="70" w:type="dxa"/>
            </w:tcMar>
            <w:vAlign w:val="top"/>
          </w:tcPr>
          <w:p>
            <w:pPr>
              <w:spacing w:after="10" w:line="240" w:lineRule="auto"/>
            </w:pPr>
            <w:r>
              <w:rPr>
                <w:rFonts w:ascii="Arial" w:hAnsi="Arial"/>
                <w:sz w:val="13"/>
              </w:rPr>
              <w:t>Medium</w:t>
            </w:r>
          </w:p>
        </w:tc>
      </w:tr>
      <w:tr>
        <w:trPr>
          <w:cantSplit/>
        </w:trPr>
        <w:tc>
          <w:tcPr>
            <w:tcW w:type="dxa" w:w="1656"/>
            <w:tcMar>
              <w:top w:w="55" w:type="dxa"/>
              <w:start w:w="70" w:type="dxa"/>
              <w:bottom w:w="55" w:type="dxa"/>
              <w:end w:w="70" w:type="dxa"/>
            </w:tcMar>
            <w:vAlign w:val="top"/>
          </w:tcPr>
          <w:p>
            <w:pPr>
              <w:spacing w:after="10" w:line="240" w:lineRule="auto"/>
            </w:pPr>
            <w:r>
              <w:rPr>
                <w:rFonts w:ascii="Arial" w:hAnsi="Arial"/>
                <w:b/>
                <w:sz w:val="13"/>
              </w:rPr>
              <w:t>Emblaveo</w:t>
            </w:r>
          </w:p>
        </w:tc>
        <w:tc>
          <w:tcPr>
            <w:tcW w:type="dxa" w:w="1296"/>
            <w:tcMar>
              <w:top w:w="55" w:type="dxa"/>
              <w:start w:w="70" w:type="dxa"/>
              <w:bottom w:w="55" w:type="dxa"/>
              <w:end w:w="70" w:type="dxa"/>
            </w:tcMar>
            <w:vAlign w:val="top"/>
          </w:tcPr>
          <w:p>
            <w:pPr>
              <w:spacing w:after="10" w:line="240" w:lineRule="auto"/>
            </w:pPr>
            <w:r>
              <w:rPr>
                <w:rFonts w:ascii="Arial" w:hAnsi="Arial"/>
                <w:sz w:val="13"/>
              </w:rPr>
              <w:t>FY26A</w:t>
            </w:r>
          </w:p>
        </w:tc>
        <w:tc>
          <w:tcPr>
            <w:tcW w:type="dxa" w:w="1296"/>
            <w:tcMar>
              <w:top w:w="55" w:type="dxa"/>
              <w:start w:w="70" w:type="dxa"/>
              <w:bottom w:w="55" w:type="dxa"/>
              <w:end w:w="70" w:type="dxa"/>
            </w:tcMar>
            <w:vAlign w:val="top"/>
          </w:tcPr>
          <w:p>
            <w:pPr>
              <w:spacing w:after="10" w:line="240" w:lineRule="auto"/>
            </w:pPr>
            <w:r>
              <w:rPr>
                <w:rFonts w:ascii="Arial" w:hAnsi="Arial"/>
                <w:sz w:val="13"/>
              </w:rPr>
              <w:t>100%</w:t>
            </w:r>
          </w:p>
        </w:tc>
        <w:tc>
          <w:tcPr>
            <w:tcW w:type="dxa" w:w="2880"/>
            <w:tcMar>
              <w:top w:w="55" w:type="dxa"/>
              <w:start w:w="70" w:type="dxa"/>
              <w:bottom w:w="55" w:type="dxa"/>
              <w:end w:w="70" w:type="dxa"/>
            </w:tcMar>
            <w:vAlign w:val="top"/>
          </w:tcPr>
          <w:p>
            <w:pPr>
              <w:spacing w:after="10" w:line="240" w:lineRule="auto"/>
            </w:pPr>
            <w:r>
              <w:rPr>
                <w:rFonts w:ascii="Arial" w:hAnsi="Arial"/>
                <w:sz w:val="13"/>
              </w:rPr>
              <w:t>Selected severe MBL-producing infections</w:t>
            </w:r>
          </w:p>
        </w:tc>
        <w:tc>
          <w:tcPr>
            <w:tcW w:type="dxa" w:w="1800"/>
            <w:tcMar>
              <w:top w:w="55" w:type="dxa"/>
              <w:start w:w="70" w:type="dxa"/>
              <w:bottom w:w="55" w:type="dxa"/>
              <w:end w:w="70" w:type="dxa"/>
            </w:tcMar>
            <w:vAlign w:val="top"/>
          </w:tcPr>
          <w:p>
            <w:pPr>
              <w:spacing w:after="10" w:line="240" w:lineRule="auto"/>
            </w:pPr>
            <w:r>
              <w:rPr>
                <w:rFonts w:ascii="Arial" w:hAnsi="Arial"/>
                <w:sz w:val="13"/>
              </w:rPr>
              <w:t>₹7,800/vial list</w:t>
            </w:r>
          </w:p>
        </w:tc>
        <w:tc>
          <w:tcPr>
            <w:tcW w:type="dxa" w:w="2016"/>
            <w:tcMar>
              <w:top w:w="55" w:type="dxa"/>
              <w:start w:w="70" w:type="dxa"/>
              <w:bottom w:w="55" w:type="dxa"/>
              <w:end w:w="70" w:type="dxa"/>
            </w:tcMar>
            <w:vAlign w:val="top"/>
          </w:tcPr>
          <w:p>
            <w:pPr>
              <w:spacing w:after="10" w:line="240" w:lineRule="auto"/>
            </w:pPr>
            <w:r>
              <w:rPr>
                <w:rFonts w:ascii="Arial" w:hAnsi="Arial"/>
                <w:sz w:val="13"/>
              </w:rPr>
              <w:t>FY30E ₹85cr</w:t>
            </w:r>
          </w:p>
        </w:tc>
        <w:tc>
          <w:tcPr>
            <w:tcW w:type="dxa" w:w="1152"/>
            <w:tcMar>
              <w:top w:w="55" w:type="dxa"/>
              <w:start w:w="70" w:type="dxa"/>
              <w:bottom w:w="55" w:type="dxa"/>
              <w:end w:w="70" w:type="dxa"/>
            </w:tcMar>
            <w:vAlign w:val="top"/>
          </w:tcPr>
          <w:p>
            <w:pPr>
              <w:spacing w:after="10" w:line="240" w:lineRule="auto"/>
            </w:pPr>
            <w:r>
              <w:rPr>
                <w:rFonts w:ascii="Arial" w:hAnsi="Arial"/>
                <w:sz w:val="13"/>
              </w:rPr>
              <w:t>Medium</w:t>
            </w:r>
          </w:p>
        </w:tc>
      </w:tr>
      <w:tr>
        <w:trPr>
          <w:cantSplit/>
        </w:trPr>
        <w:tc>
          <w:tcPr>
            <w:tcW w:type="dxa" w:w="1656"/>
            <w:shd w:fill="F7F7F7"/>
            <w:tcMar>
              <w:top w:w="55" w:type="dxa"/>
              <w:start w:w="70" w:type="dxa"/>
              <w:bottom w:w="55" w:type="dxa"/>
              <w:end w:w="70" w:type="dxa"/>
            </w:tcMar>
            <w:vAlign w:val="top"/>
          </w:tcPr>
          <w:p>
            <w:pPr>
              <w:spacing w:after="10" w:line="240" w:lineRule="auto"/>
            </w:pPr>
            <w:r>
              <w:rPr>
                <w:rFonts w:ascii="Arial" w:hAnsi="Arial"/>
                <w:b/>
                <w:sz w:val="13"/>
              </w:rPr>
              <w:t>Abrysvo</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3"/>
              </w:rPr>
              <w:t>FY29E earliest</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3"/>
              </w:rPr>
              <w:t>35%</w:t>
            </w:r>
          </w:p>
        </w:tc>
        <w:tc>
          <w:tcPr>
            <w:tcW w:type="dxa" w:w="2880"/>
            <w:shd w:fill="F7F7F7"/>
            <w:tcMar>
              <w:top w:w="55" w:type="dxa"/>
              <w:start w:w="70" w:type="dxa"/>
              <w:bottom w:w="55" w:type="dxa"/>
              <w:end w:w="70" w:type="dxa"/>
            </w:tcMar>
            <w:vAlign w:val="top"/>
          </w:tcPr>
          <w:p>
            <w:pPr>
              <w:spacing w:after="10" w:line="240" w:lineRule="auto"/>
            </w:pPr>
            <w:r>
              <w:rPr>
                <w:rFonts w:ascii="Arial" w:hAnsi="Arial"/>
                <w:sz w:val="13"/>
              </w:rPr>
              <w:t>Pregnancy/older adult private RSV prevention, indication dependent</w:t>
            </w:r>
          </w:p>
        </w:tc>
        <w:tc>
          <w:tcPr>
            <w:tcW w:type="dxa" w:w="1800"/>
            <w:shd w:fill="F7F7F7"/>
            <w:tcMar>
              <w:top w:w="55" w:type="dxa"/>
              <w:start w:w="70" w:type="dxa"/>
              <w:bottom w:w="55" w:type="dxa"/>
              <w:end w:w="70" w:type="dxa"/>
            </w:tcMar>
            <w:vAlign w:val="top"/>
          </w:tcPr>
          <w:p>
            <w:pPr>
              <w:spacing w:after="10" w:line="240" w:lineRule="auto"/>
            </w:pPr>
            <w:r>
              <w:rPr>
                <w:rFonts w:ascii="Arial" w:hAnsi="Arial"/>
                <w:sz w:val="13"/>
              </w:rPr>
              <w:t>Assume ₹8,000 net course</w:t>
            </w:r>
          </w:p>
        </w:tc>
        <w:tc>
          <w:tcPr>
            <w:tcW w:type="dxa" w:w="2016"/>
            <w:shd w:fill="F7F7F7"/>
            <w:tcMar>
              <w:top w:w="55" w:type="dxa"/>
              <w:start w:w="70" w:type="dxa"/>
              <w:bottom w:w="55" w:type="dxa"/>
              <w:end w:w="70" w:type="dxa"/>
            </w:tcMar>
            <w:vAlign w:val="top"/>
          </w:tcPr>
          <w:p>
            <w:pPr>
              <w:spacing w:after="10" w:line="240" w:lineRule="auto"/>
            </w:pPr>
            <w:r>
              <w:rPr>
                <w:rFonts w:ascii="Arial" w:hAnsi="Arial"/>
                <w:sz w:val="13"/>
              </w:rPr>
              <w:t>Risk-adjusted FY30E ₹25cr; peak ₹90cr</w:t>
            </w:r>
          </w:p>
        </w:tc>
        <w:tc>
          <w:tcPr>
            <w:tcW w:type="dxa" w:w="1152"/>
            <w:shd w:fill="F7F7F7"/>
            <w:tcMar>
              <w:top w:w="55" w:type="dxa"/>
              <w:start w:w="70" w:type="dxa"/>
              <w:bottom w:w="55" w:type="dxa"/>
              <w:end w:w="70" w:type="dxa"/>
            </w:tcMar>
            <w:vAlign w:val="top"/>
          </w:tcPr>
          <w:p>
            <w:pPr>
              <w:spacing w:after="10" w:line="240" w:lineRule="auto"/>
            </w:pPr>
            <w:r>
              <w:rPr>
                <w:rFonts w:ascii="Arial" w:hAnsi="Arial"/>
                <w:sz w:val="13"/>
              </w:rPr>
              <w:t>Low-medium</w:t>
            </w:r>
          </w:p>
        </w:tc>
      </w:tr>
      <w:tr>
        <w:trPr>
          <w:cantSplit/>
        </w:trPr>
        <w:tc>
          <w:tcPr>
            <w:tcW w:type="dxa" w:w="1656"/>
            <w:tcMar>
              <w:top w:w="55" w:type="dxa"/>
              <w:start w:w="70" w:type="dxa"/>
              <w:bottom w:w="55" w:type="dxa"/>
              <w:end w:w="70" w:type="dxa"/>
            </w:tcMar>
            <w:vAlign w:val="top"/>
          </w:tcPr>
          <w:p>
            <w:pPr>
              <w:spacing w:after="10" w:line="240" w:lineRule="auto"/>
            </w:pPr>
            <w:r>
              <w:rPr>
                <w:rFonts w:ascii="Arial" w:hAnsi="Arial"/>
                <w:b/>
                <w:sz w:val="13"/>
              </w:rPr>
              <w:t>Etrasimod</w:t>
            </w:r>
          </w:p>
        </w:tc>
        <w:tc>
          <w:tcPr>
            <w:tcW w:type="dxa" w:w="1296"/>
            <w:tcMar>
              <w:top w:w="55" w:type="dxa"/>
              <w:start w:w="70" w:type="dxa"/>
              <w:bottom w:w="55" w:type="dxa"/>
              <w:end w:w="70" w:type="dxa"/>
            </w:tcMar>
            <w:vAlign w:val="top"/>
          </w:tcPr>
          <w:p>
            <w:pPr>
              <w:spacing w:after="10" w:line="240" w:lineRule="auto"/>
            </w:pPr>
            <w:r>
              <w:rPr>
                <w:rFonts w:ascii="Arial" w:hAnsi="Arial"/>
                <w:sz w:val="13"/>
              </w:rPr>
              <w:t>FY30E earliest</w:t>
            </w:r>
          </w:p>
        </w:tc>
        <w:tc>
          <w:tcPr>
            <w:tcW w:type="dxa" w:w="1296"/>
            <w:tcMar>
              <w:top w:w="55" w:type="dxa"/>
              <w:start w:w="70" w:type="dxa"/>
              <w:bottom w:w="55" w:type="dxa"/>
              <w:end w:w="70" w:type="dxa"/>
            </w:tcMar>
            <w:vAlign w:val="top"/>
          </w:tcPr>
          <w:p>
            <w:pPr>
              <w:spacing w:after="10" w:line="240" w:lineRule="auto"/>
            </w:pPr>
            <w:r>
              <w:rPr>
                <w:rFonts w:ascii="Arial" w:hAnsi="Arial"/>
                <w:sz w:val="13"/>
              </w:rPr>
              <w:t>20%</w:t>
            </w:r>
          </w:p>
        </w:tc>
        <w:tc>
          <w:tcPr>
            <w:tcW w:type="dxa" w:w="2880"/>
            <w:tcMar>
              <w:top w:w="55" w:type="dxa"/>
              <w:start w:w="70" w:type="dxa"/>
              <w:bottom w:w="55" w:type="dxa"/>
              <w:end w:w="70" w:type="dxa"/>
            </w:tcMar>
            <w:vAlign w:val="top"/>
          </w:tcPr>
          <w:p>
            <w:pPr>
              <w:spacing w:after="10" w:line="240" w:lineRule="auto"/>
            </w:pPr>
            <w:r>
              <w:rPr>
                <w:rFonts w:ascii="Arial" w:hAnsi="Arial"/>
                <w:sz w:val="13"/>
              </w:rPr>
              <w:t>Moderate-to-severe ulcerative colitis treated by specialists</w:t>
            </w:r>
          </w:p>
        </w:tc>
        <w:tc>
          <w:tcPr>
            <w:tcW w:type="dxa" w:w="1800"/>
            <w:tcMar>
              <w:top w:w="55" w:type="dxa"/>
              <w:start w:w="70" w:type="dxa"/>
              <w:bottom w:w="55" w:type="dxa"/>
              <w:end w:w="70" w:type="dxa"/>
            </w:tcMar>
            <w:vAlign w:val="top"/>
          </w:tcPr>
          <w:p>
            <w:pPr>
              <w:spacing w:after="10" w:line="240" w:lineRule="auto"/>
            </w:pPr>
            <w:r>
              <w:rPr>
                <w:rFonts w:ascii="Arial" w:hAnsi="Arial"/>
                <w:sz w:val="13"/>
              </w:rPr>
              <w:t>Assume ₹120,000 annual net</w:t>
            </w:r>
          </w:p>
        </w:tc>
        <w:tc>
          <w:tcPr>
            <w:tcW w:type="dxa" w:w="2016"/>
            <w:tcMar>
              <w:top w:w="55" w:type="dxa"/>
              <w:start w:w="70" w:type="dxa"/>
              <w:bottom w:w="55" w:type="dxa"/>
              <w:end w:w="70" w:type="dxa"/>
            </w:tcMar>
            <w:vAlign w:val="top"/>
          </w:tcPr>
          <w:p>
            <w:pPr>
              <w:spacing w:after="10" w:line="240" w:lineRule="auto"/>
            </w:pPr>
            <w:r>
              <w:rPr>
                <w:rFonts w:ascii="Arial" w:hAnsi="Arial"/>
                <w:sz w:val="13"/>
              </w:rPr>
              <w:t>Risk-adjusted FY30E ₹10cr; peak ₹55cr</w:t>
            </w:r>
          </w:p>
        </w:tc>
        <w:tc>
          <w:tcPr>
            <w:tcW w:type="dxa" w:w="1152"/>
            <w:tcMar>
              <w:top w:w="55" w:type="dxa"/>
              <w:start w:w="70" w:type="dxa"/>
              <w:bottom w:w="55" w:type="dxa"/>
              <w:end w:w="70" w:type="dxa"/>
            </w:tcMar>
            <w:vAlign w:val="top"/>
          </w:tcPr>
          <w:p>
            <w:pPr>
              <w:spacing w:after="10" w:line="240" w:lineRule="auto"/>
            </w:pPr>
            <w:r>
              <w:rPr>
                <w:rFonts w:ascii="Arial" w:hAnsi="Arial"/>
                <w:sz w:val="13"/>
              </w:rPr>
              <w:t>Low</w:t>
            </w:r>
          </w:p>
        </w:tc>
      </w:tr>
    </w:tbl>
    <w:p>
      <w:pPr>
        <w:pStyle w:val="ExhibitTitle"/>
      </w:pPr>
      <w:r>
        <w:t>Exhibit 8. The credible launch pool is real but modest relative to the base</w:t>
      </w:r>
    </w:p>
    <w:p>
      <w:r>
        <w:rPr>
          <w:color w:val="59636E"/>
          <w:sz w:val="15"/>
        </w:rPr>
        <w:t>Commercialisation estimates use eligible treated patients multiplied by penetration and net price. Only products already allocated to Pfizer Limited enter the base forecast at 100%.</w:t>
      </w:r>
    </w:p>
    <w:p>
      <w:pPr>
        <w:pStyle w:val="Source"/>
      </w:pPr>
      <w:r>
        <w:t>Source: Company price list [S4]; company launch disclosures [S1]; ClinicalTrials.gov [S17]; Bernstein estimates. Eligible-patient data beyond company migraine estimate are not disclosed.</w:t>
      </w:r>
    </w:p>
    <w:p>
      <w:r>
        <w:t>The pipeline valuation rule is simple: trial activity creates scientific evidence, not shareholder entitlement. A molecule enters listed-company revenue only after either an official label, price list, exchange filing or company disclosure names Pfizer Limited as marketer or economic beneficiary.</w:t>
      </w:r>
    </w:p>
    <w:p>
      <w:pPr>
        <w:pStyle w:val="Heading1"/>
      </w:pPr>
      <w:r>
        <w:t>PART V: Industry structure and operating model</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800"/>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Company</w:t>
            </w:r>
          </w:p>
        </w:tc>
        <w:tc>
          <w:tcPr>
            <w:tcW w:type="dxa" w:w="2592"/>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Mix</w:t>
            </w:r>
          </w:p>
        </w:tc>
        <w:tc>
          <w:tcPr>
            <w:tcW w:type="dxa" w:w="1512"/>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Innovation share</w:t>
            </w:r>
          </w:p>
        </w:tc>
        <w:tc>
          <w:tcPr>
            <w:tcW w:type="dxa" w:w="2016"/>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Concentration</w:t>
            </w:r>
          </w:p>
        </w:tc>
        <w:tc>
          <w:tcPr>
            <w:tcW w:type="dxa" w:w="1656"/>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Margin</w:t>
            </w:r>
          </w:p>
        </w:tc>
        <w:tc>
          <w:tcPr>
            <w:tcW w:type="dxa" w:w="1512"/>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Balance sheet</w:t>
            </w:r>
          </w:p>
        </w:tc>
        <w:tc>
          <w:tcPr>
            <w:tcW w:type="dxa" w:w="1584"/>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Parent access</w:t>
            </w:r>
          </w:p>
        </w:tc>
      </w:tr>
      <w:tr>
        <w:trPr>
          <w:cantSplit/>
        </w:trPr>
        <w:tc>
          <w:tcPr>
            <w:tcW w:type="dxa" w:w="1800"/>
            <w:tcMar>
              <w:top w:w="55" w:type="dxa"/>
              <w:start w:w="70" w:type="dxa"/>
              <w:bottom w:w="55" w:type="dxa"/>
              <w:end w:w="70" w:type="dxa"/>
            </w:tcMar>
            <w:vAlign w:val="top"/>
          </w:tcPr>
          <w:p>
            <w:pPr>
              <w:spacing w:after="10" w:line="240" w:lineRule="auto"/>
            </w:pPr>
            <w:r>
              <w:rPr>
                <w:rFonts w:ascii="Arial" w:hAnsi="Arial"/>
                <w:b/>
                <w:sz w:val="13"/>
              </w:rPr>
              <w:t>Pfizer Limited</w:t>
            </w:r>
          </w:p>
        </w:tc>
        <w:tc>
          <w:tcPr>
            <w:tcW w:type="dxa" w:w="2592"/>
            <w:tcMar>
              <w:top w:w="55" w:type="dxa"/>
              <w:start w:w="70" w:type="dxa"/>
              <w:bottom w:w="55" w:type="dxa"/>
              <w:end w:w="70" w:type="dxa"/>
            </w:tcMar>
            <w:vAlign w:val="top"/>
          </w:tcPr>
          <w:p>
            <w:pPr>
              <w:spacing w:after="10" w:line="240" w:lineRule="auto"/>
            </w:pPr>
            <w:r>
              <w:rPr>
                <w:rFonts w:ascii="Arial" w:hAnsi="Arial"/>
                <w:sz w:val="13"/>
              </w:rPr>
              <w:t>Vaccines, anticoagulation, hospital anti-infectives, mature brands</w:t>
            </w:r>
          </w:p>
        </w:tc>
        <w:tc>
          <w:tcPr>
            <w:tcW w:type="dxa" w:w="1512"/>
            <w:tcMar>
              <w:top w:w="55" w:type="dxa"/>
              <w:start w:w="70" w:type="dxa"/>
              <w:bottom w:w="55" w:type="dxa"/>
              <w:end w:w="70" w:type="dxa"/>
            </w:tcMar>
            <w:vAlign w:val="top"/>
          </w:tcPr>
          <w:p>
            <w:pPr>
              <w:spacing w:after="10" w:line="240" w:lineRule="auto"/>
            </w:pPr>
            <w:r>
              <w:rPr>
                <w:rFonts w:ascii="Arial" w:hAnsi="Arial"/>
                <w:sz w:val="13"/>
              </w:rPr>
              <w:t>Selected</w:t>
            </w:r>
          </w:p>
        </w:tc>
        <w:tc>
          <w:tcPr>
            <w:tcW w:type="dxa" w:w="2016"/>
            <w:tcMar>
              <w:top w:w="55" w:type="dxa"/>
              <w:start w:w="70" w:type="dxa"/>
              <w:bottom w:w="55" w:type="dxa"/>
              <w:end w:w="70" w:type="dxa"/>
            </w:tcMar>
            <w:vAlign w:val="top"/>
          </w:tcPr>
          <w:p>
            <w:pPr>
              <w:spacing w:after="10" w:line="240" w:lineRule="auto"/>
            </w:pPr>
            <w:r>
              <w:rPr>
                <w:rFonts w:ascii="Arial" w:hAnsi="Arial"/>
                <w:sz w:val="13"/>
              </w:rPr>
              <w:t>High; BE top five ~65%</w:t>
            </w:r>
          </w:p>
        </w:tc>
        <w:tc>
          <w:tcPr>
            <w:tcW w:type="dxa" w:w="1656"/>
            <w:tcMar>
              <w:top w:w="55" w:type="dxa"/>
              <w:start w:w="70" w:type="dxa"/>
              <w:bottom w:w="55" w:type="dxa"/>
              <w:end w:w="70" w:type="dxa"/>
            </w:tcMar>
            <w:vAlign w:val="top"/>
          </w:tcPr>
          <w:p>
            <w:pPr>
              <w:spacing w:after="10" w:line="240" w:lineRule="auto"/>
            </w:pPr>
            <w:r>
              <w:rPr>
                <w:rFonts w:ascii="Arial" w:hAnsi="Arial"/>
                <w:sz w:val="13"/>
              </w:rPr>
              <w:t>35.9% FY26 BE operating EBITDA</w:t>
            </w:r>
          </w:p>
        </w:tc>
        <w:tc>
          <w:tcPr>
            <w:tcW w:type="dxa" w:w="1512"/>
            <w:tcMar>
              <w:top w:w="55" w:type="dxa"/>
              <w:start w:w="70" w:type="dxa"/>
              <w:bottom w:w="55" w:type="dxa"/>
              <w:end w:w="70" w:type="dxa"/>
            </w:tcMar>
            <w:vAlign w:val="top"/>
          </w:tcPr>
          <w:p>
            <w:pPr>
              <w:spacing w:after="10" w:line="240" w:lineRule="auto"/>
            </w:pPr>
            <w:r>
              <w:rPr>
                <w:rFonts w:ascii="Arial" w:hAnsi="Arial"/>
                <w:sz w:val="13"/>
              </w:rPr>
              <w:t>₹3,111cr cash/banks</w:t>
            </w:r>
          </w:p>
        </w:tc>
        <w:tc>
          <w:tcPr>
            <w:tcW w:type="dxa" w:w="1584"/>
            <w:tcMar>
              <w:top w:w="55" w:type="dxa"/>
              <w:start w:w="70" w:type="dxa"/>
              <w:bottom w:w="55" w:type="dxa"/>
              <w:end w:w="70" w:type="dxa"/>
            </w:tcMar>
            <w:vAlign w:val="top"/>
          </w:tcPr>
          <w:p>
            <w:pPr>
              <w:spacing w:after="10" w:line="240" w:lineRule="auto"/>
            </w:pPr>
            <w:r>
              <w:rPr>
                <w:rFonts w:ascii="Arial" w:hAnsi="Arial"/>
                <w:sz w:val="13"/>
              </w:rPr>
              <w:t>Ambiguous</w:t>
            </w:r>
          </w:p>
        </w:tc>
      </w:tr>
      <w:tr>
        <w:trPr>
          <w:cantSplit/>
        </w:trPr>
        <w:tc>
          <w:tcPr>
            <w:tcW w:type="dxa" w:w="1800"/>
            <w:shd w:fill="F7F7F7"/>
            <w:tcMar>
              <w:top w:w="55" w:type="dxa"/>
              <w:start w:w="70" w:type="dxa"/>
              <w:bottom w:w="55" w:type="dxa"/>
              <w:end w:w="70" w:type="dxa"/>
            </w:tcMar>
            <w:vAlign w:val="top"/>
          </w:tcPr>
          <w:p>
            <w:pPr>
              <w:spacing w:after="10" w:line="240" w:lineRule="auto"/>
            </w:pPr>
            <w:r>
              <w:rPr>
                <w:rFonts w:ascii="Arial" w:hAnsi="Arial"/>
                <w:b/>
                <w:sz w:val="13"/>
              </w:rPr>
              <w:t>GSK Pharma India</w:t>
            </w:r>
          </w:p>
        </w:tc>
        <w:tc>
          <w:tcPr>
            <w:tcW w:type="dxa" w:w="2592"/>
            <w:shd w:fill="F7F7F7"/>
            <w:tcMar>
              <w:top w:w="55" w:type="dxa"/>
              <w:start w:w="70" w:type="dxa"/>
              <w:bottom w:w="55" w:type="dxa"/>
              <w:end w:w="70" w:type="dxa"/>
            </w:tcMar>
            <w:vAlign w:val="top"/>
          </w:tcPr>
          <w:p>
            <w:pPr>
              <w:spacing w:after="10" w:line="240" w:lineRule="auto"/>
            </w:pPr>
            <w:r>
              <w:rPr>
                <w:rFonts w:ascii="Arial" w:hAnsi="Arial"/>
                <w:sz w:val="13"/>
              </w:rPr>
              <w:t>Vaccines, respiratory, anti-infectives</w:t>
            </w:r>
          </w:p>
        </w:tc>
        <w:tc>
          <w:tcPr>
            <w:tcW w:type="dxa" w:w="1512"/>
            <w:shd w:fill="F7F7F7"/>
            <w:tcMar>
              <w:top w:w="55" w:type="dxa"/>
              <w:start w:w="70" w:type="dxa"/>
              <w:bottom w:w="55" w:type="dxa"/>
              <w:end w:w="70" w:type="dxa"/>
            </w:tcMar>
            <w:vAlign w:val="top"/>
          </w:tcPr>
          <w:p>
            <w:pPr>
              <w:spacing w:after="10" w:line="240" w:lineRule="auto"/>
            </w:pPr>
            <w:r>
              <w:rPr>
                <w:rFonts w:ascii="Arial" w:hAnsi="Arial"/>
                <w:sz w:val="13"/>
              </w:rPr>
              <w:t>Stronger vaccine breadth</w:t>
            </w:r>
          </w:p>
        </w:tc>
        <w:tc>
          <w:tcPr>
            <w:tcW w:type="dxa" w:w="2016"/>
            <w:shd w:fill="F7F7F7"/>
            <w:tcMar>
              <w:top w:w="55" w:type="dxa"/>
              <w:start w:w="70" w:type="dxa"/>
              <w:bottom w:w="55" w:type="dxa"/>
              <w:end w:w="70" w:type="dxa"/>
            </w:tcMar>
            <w:vAlign w:val="top"/>
          </w:tcPr>
          <w:p>
            <w:pPr>
              <w:spacing w:after="10" w:line="240" w:lineRule="auto"/>
            </w:pPr>
            <w:r>
              <w:rPr>
                <w:rFonts w:ascii="Arial" w:hAnsi="Arial"/>
                <w:sz w:val="13"/>
              </w:rPr>
              <w:t>Moderate</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High quality</w:t>
            </w:r>
          </w:p>
        </w:tc>
        <w:tc>
          <w:tcPr>
            <w:tcW w:type="dxa" w:w="1512"/>
            <w:shd w:fill="F7F7F7"/>
            <w:tcMar>
              <w:top w:w="55" w:type="dxa"/>
              <w:start w:w="70" w:type="dxa"/>
              <w:bottom w:w="55" w:type="dxa"/>
              <w:end w:w="70" w:type="dxa"/>
            </w:tcMar>
            <w:vAlign w:val="top"/>
          </w:tcPr>
          <w:p>
            <w:pPr>
              <w:spacing w:after="10" w:line="240" w:lineRule="auto"/>
            </w:pPr>
            <w:r>
              <w:rPr>
                <w:rFonts w:ascii="Arial" w:hAnsi="Arial"/>
                <w:sz w:val="13"/>
              </w:rPr>
              <w:t>Net cash</w:t>
            </w:r>
          </w:p>
        </w:tc>
        <w:tc>
          <w:tcPr>
            <w:tcW w:type="dxa" w:w="1584"/>
            <w:shd w:fill="F7F7F7"/>
            <w:tcMar>
              <w:top w:w="55" w:type="dxa"/>
              <w:start w:w="70" w:type="dxa"/>
              <w:bottom w:w="55" w:type="dxa"/>
              <w:end w:w="70" w:type="dxa"/>
            </w:tcMar>
            <w:vAlign w:val="top"/>
          </w:tcPr>
          <w:p>
            <w:pPr>
              <w:spacing w:after="10" w:line="240" w:lineRule="auto"/>
            </w:pPr>
            <w:r>
              <w:rPr>
                <w:rFonts w:ascii="Arial" w:hAnsi="Arial"/>
                <w:sz w:val="13"/>
              </w:rPr>
              <w:t>Historically better vaccine access</w:t>
            </w:r>
          </w:p>
        </w:tc>
      </w:tr>
      <w:tr>
        <w:trPr>
          <w:cantSplit/>
        </w:trPr>
        <w:tc>
          <w:tcPr>
            <w:tcW w:type="dxa" w:w="1800"/>
            <w:tcMar>
              <w:top w:w="55" w:type="dxa"/>
              <w:start w:w="70" w:type="dxa"/>
              <w:bottom w:w="55" w:type="dxa"/>
              <w:end w:w="70" w:type="dxa"/>
            </w:tcMar>
            <w:vAlign w:val="top"/>
          </w:tcPr>
          <w:p>
            <w:pPr>
              <w:spacing w:after="10" w:line="240" w:lineRule="auto"/>
            </w:pPr>
            <w:r>
              <w:rPr>
                <w:rFonts w:ascii="Arial" w:hAnsi="Arial"/>
                <w:b/>
                <w:sz w:val="13"/>
              </w:rPr>
              <w:t>Abbott India</w:t>
            </w:r>
          </w:p>
        </w:tc>
        <w:tc>
          <w:tcPr>
            <w:tcW w:type="dxa" w:w="2592"/>
            <w:tcMar>
              <w:top w:w="55" w:type="dxa"/>
              <w:start w:w="70" w:type="dxa"/>
              <w:bottom w:w="55" w:type="dxa"/>
              <w:end w:w="70" w:type="dxa"/>
            </w:tcMar>
            <w:vAlign w:val="top"/>
          </w:tcPr>
          <w:p>
            <w:pPr>
              <w:spacing w:after="10" w:line="240" w:lineRule="auto"/>
            </w:pPr>
            <w:r>
              <w:rPr>
                <w:rFonts w:ascii="Arial" w:hAnsi="Arial"/>
                <w:sz w:val="13"/>
              </w:rPr>
              <w:t>Domestic chronic branded formulations</w:t>
            </w:r>
          </w:p>
        </w:tc>
        <w:tc>
          <w:tcPr>
            <w:tcW w:type="dxa" w:w="1512"/>
            <w:tcMar>
              <w:top w:w="55" w:type="dxa"/>
              <w:start w:w="70" w:type="dxa"/>
              <w:bottom w:w="55" w:type="dxa"/>
              <w:end w:w="70" w:type="dxa"/>
            </w:tcMar>
            <w:vAlign w:val="top"/>
          </w:tcPr>
          <w:p>
            <w:pPr>
              <w:spacing w:after="10" w:line="240" w:lineRule="auto"/>
            </w:pPr>
            <w:r>
              <w:rPr>
                <w:rFonts w:ascii="Arial" w:hAnsi="Arial"/>
                <w:sz w:val="13"/>
              </w:rPr>
              <w:t>Low patented share</w:t>
            </w:r>
          </w:p>
        </w:tc>
        <w:tc>
          <w:tcPr>
            <w:tcW w:type="dxa" w:w="2016"/>
            <w:tcMar>
              <w:top w:w="55" w:type="dxa"/>
              <w:start w:w="70" w:type="dxa"/>
              <w:bottom w:w="55" w:type="dxa"/>
              <w:end w:w="70" w:type="dxa"/>
            </w:tcMar>
            <w:vAlign w:val="top"/>
          </w:tcPr>
          <w:p>
            <w:pPr>
              <w:spacing w:after="10" w:line="240" w:lineRule="auto"/>
            </w:pPr>
            <w:r>
              <w:rPr>
                <w:rFonts w:ascii="Arial" w:hAnsi="Arial"/>
                <w:sz w:val="13"/>
              </w:rPr>
              <w:t>Broad high-productivity portfolio</w:t>
            </w:r>
          </w:p>
        </w:tc>
        <w:tc>
          <w:tcPr>
            <w:tcW w:type="dxa" w:w="1656"/>
            <w:tcMar>
              <w:top w:w="55" w:type="dxa"/>
              <w:start w:w="70" w:type="dxa"/>
              <w:bottom w:w="55" w:type="dxa"/>
              <w:end w:w="70" w:type="dxa"/>
            </w:tcMar>
            <w:vAlign w:val="top"/>
          </w:tcPr>
          <w:p>
            <w:pPr>
              <w:spacing w:after="10" w:line="240" w:lineRule="auto"/>
            </w:pPr>
            <w:r>
              <w:rPr>
                <w:rFonts w:ascii="Arial" w:hAnsi="Arial"/>
                <w:sz w:val="13"/>
              </w:rPr>
              <w:t>High quality</w:t>
            </w:r>
          </w:p>
        </w:tc>
        <w:tc>
          <w:tcPr>
            <w:tcW w:type="dxa" w:w="1512"/>
            <w:tcMar>
              <w:top w:w="55" w:type="dxa"/>
              <w:start w:w="70" w:type="dxa"/>
              <w:bottom w:w="55" w:type="dxa"/>
              <w:end w:w="70" w:type="dxa"/>
            </w:tcMar>
            <w:vAlign w:val="top"/>
          </w:tcPr>
          <w:p>
            <w:pPr>
              <w:spacing w:after="10" w:line="240" w:lineRule="auto"/>
            </w:pPr>
            <w:r>
              <w:rPr>
                <w:rFonts w:ascii="Arial" w:hAnsi="Arial"/>
                <w:sz w:val="13"/>
              </w:rPr>
              <w:t>Net cash</w:t>
            </w:r>
          </w:p>
        </w:tc>
        <w:tc>
          <w:tcPr>
            <w:tcW w:type="dxa" w:w="1584"/>
            <w:tcMar>
              <w:top w:w="55" w:type="dxa"/>
              <w:start w:w="70" w:type="dxa"/>
              <w:bottom w:w="55" w:type="dxa"/>
              <w:end w:w="70" w:type="dxa"/>
            </w:tcMar>
            <w:vAlign w:val="top"/>
          </w:tcPr>
          <w:p>
            <w:pPr>
              <w:spacing w:after="10" w:line="240" w:lineRule="auto"/>
            </w:pPr>
            <w:r>
              <w:rPr>
                <w:rFonts w:ascii="Arial" w:hAnsi="Arial"/>
                <w:sz w:val="13"/>
              </w:rPr>
              <w:t>Less pipeline-dependent</w:t>
            </w:r>
          </w:p>
        </w:tc>
      </w:tr>
      <w:tr>
        <w:trPr>
          <w:cantSplit/>
        </w:trPr>
        <w:tc>
          <w:tcPr>
            <w:tcW w:type="dxa" w:w="1800"/>
            <w:shd w:fill="F7F7F7"/>
            <w:tcMar>
              <w:top w:w="55" w:type="dxa"/>
              <w:start w:w="70" w:type="dxa"/>
              <w:bottom w:w="55" w:type="dxa"/>
              <w:end w:w="70" w:type="dxa"/>
            </w:tcMar>
            <w:vAlign w:val="top"/>
          </w:tcPr>
          <w:p>
            <w:pPr>
              <w:spacing w:after="10" w:line="240" w:lineRule="auto"/>
            </w:pPr>
            <w:r>
              <w:rPr>
                <w:rFonts w:ascii="Arial" w:hAnsi="Arial"/>
                <w:b/>
                <w:sz w:val="13"/>
              </w:rPr>
              <w:t>Sanofi India</w:t>
            </w:r>
          </w:p>
        </w:tc>
        <w:tc>
          <w:tcPr>
            <w:tcW w:type="dxa" w:w="2592"/>
            <w:shd w:fill="F7F7F7"/>
            <w:tcMar>
              <w:top w:w="55" w:type="dxa"/>
              <w:start w:w="70" w:type="dxa"/>
              <w:bottom w:w="55" w:type="dxa"/>
              <w:end w:w="70" w:type="dxa"/>
            </w:tcMar>
            <w:vAlign w:val="top"/>
          </w:tcPr>
          <w:p>
            <w:pPr>
              <w:spacing w:after="10" w:line="240" w:lineRule="auto"/>
            </w:pPr>
            <w:r>
              <w:rPr>
                <w:rFonts w:ascii="Arial" w:hAnsi="Arial"/>
                <w:sz w:val="13"/>
              </w:rPr>
              <w:t>Diabetes/established products after consumer-health changes</w:t>
            </w:r>
          </w:p>
        </w:tc>
        <w:tc>
          <w:tcPr>
            <w:tcW w:type="dxa" w:w="1512"/>
            <w:shd w:fill="F7F7F7"/>
            <w:tcMar>
              <w:top w:w="55" w:type="dxa"/>
              <w:start w:w="70" w:type="dxa"/>
              <w:bottom w:w="55" w:type="dxa"/>
              <w:end w:w="70" w:type="dxa"/>
            </w:tcMar>
            <w:vAlign w:val="top"/>
          </w:tcPr>
          <w:p>
            <w:pPr>
              <w:spacing w:after="10" w:line="240" w:lineRule="auto"/>
            </w:pPr>
            <w:r>
              <w:rPr>
                <w:rFonts w:ascii="Arial" w:hAnsi="Arial"/>
                <w:sz w:val="13"/>
              </w:rPr>
              <w:t>Selective</w:t>
            </w:r>
          </w:p>
        </w:tc>
        <w:tc>
          <w:tcPr>
            <w:tcW w:type="dxa" w:w="2016"/>
            <w:shd w:fill="F7F7F7"/>
            <w:tcMar>
              <w:top w:w="55" w:type="dxa"/>
              <w:start w:w="70" w:type="dxa"/>
              <w:bottom w:w="55" w:type="dxa"/>
              <w:end w:w="70" w:type="dxa"/>
            </w:tcMar>
            <w:vAlign w:val="top"/>
          </w:tcPr>
          <w:p>
            <w:pPr>
              <w:spacing w:after="10" w:line="240" w:lineRule="auto"/>
            </w:pPr>
            <w:r>
              <w:rPr>
                <w:rFonts w:ascii="Arial" w:hAnsi="Arial"/>
                <w:sz w:val="13"/>
              </w:rPr>
              <w:t>High mature-brand exposure</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High quality</w:t>
            </w:r>
          </w:p>
        </w:tc>
        <w:tc>
          <w:tcPr>
            <w:tcW w:type="dxa" w:w="1512"/>
            <w:shd w:fill="F7F7F7"/>
            <w:tcMar>
              <w:top w:w="55" w:type="dxa"/>
              <w:start w:w="70" w:type="dxa"/>
              <w:bottom w:w="55" w:type="dxa"/>
              <w:end w:w="70" w:type="dxa"/>
            </w:tcMar>
            <w:vAlign w:val="top"/>
          </w:tcPr>
          <w:p>
            <w:pPr>
              <w:spacing w:after="10" w:line="240" w:lineRule="auto"/>
            </w:pPr>
            <w:r>
              <w:rPr>
                <w:rFonts w:ascii="Arial" w:hAnsi="Arial"/>
                <w:sz w:val="13"/>
              </w:rPr>
              <w:t>Net cash</w:t>
            </w:r>
          </w:p>
        </w:tc>
        <w:tc>
          <w:tcPr>
            <w:tcW w:type="dxa" w:w="1584"/>
            <w:shd w:fill="F7F7F7"/>
            <w:tcMar>
              <w:top w:w="55" w:type="dxa"/>
              <w:start w:w="70" w:type="dxa"/>
              <w:bottom w:w="55" w:type="dxa"/>
              <w:end w:w="70" w:type="dxa"/>
            </w:tcMar>
            <w:vAlign w:val="top"/>
          </w:tcPr>
          <w:p>
            <w:pPr>
              <w:spacing w:after="10" w:line="240" w:lineRule="auto"/>
            </w:pPr>
            <w:r>
              <w:rPr>
                <w:rFonts w:ascii="Arial" w:hAnsi="Arial"/>
                <w:sz w:val="13"/>
              </w:rPr>
              <w:t>Mixed after perimeter changes</w:t>
            </w:r>
          </w:p>
        </w:tc>
      </w:tr>
      <w:tr>
        <w:trPr>
          <w:cantSplit/>
        </w:trPr>
        <w:tc>
          <w:tcPr>
            <w:tcW w:type="dxa" w:w="1800"/>
            <w:tcMar>
              <w:top w:w="55" w:type="dxa"/>
              <w:start w:w="70" w:type="dxa"/>
              <w:bottom w:w="55" w:type="dxa"/>
              <w:end w:w="70" w:type="dxa"/>
            </w:tcMar>
            <w:vAlign w:val="top"/>
          </w:tcPr>
          <w:p>
            <w:pPr>
              <w:spacing w:after="10" w:line="240" w:lineRule="auto"/>
            </w:pPr>
            <w:r>
              <w:rPr>
                <w:rFonts w:ascii="Arial" w:hAnsi="Arial"/>
                <w:b/>
                <w:sz w:val="13"/>
              </w:rPr>
              <w:t>AstraZeneca Pharma India</w:t>
            </w:r>
          </w:p>
        </w:tc>
        <w:tc>
          <w:tcPr>
            <w:tcW w:type="dxa" w:w="2592"/>
            <w:tcMar>
              <w:top w:w="55" w:type="dxa"/>
              <w:start w:w="70" w:type="dxa"/>
              <w:bottom w:w="55" w:type="dxa"/>
              <w:end w:w="70" w:type="dxa"/>
            </w:tcMar>
            <w:vAlign w:val="top"/>
          </w:tcPr>
          <w:p>
            <w:pPr>
              <w:spacing w:after="10" w:line="240" w:lineRule="auto"/>
            </w:pPr>
            <w:r>
              <w:rPr>
                <w:rFonts w:ascii="Arial" w:hAnsi="Arial"/>
                <w:sz w:val="13"/>
              </w:rPr>
              <w:t>Oncology, CVRM, respiratory</w:t>
            </w:r>
          </w:p>
        </w:tc>
        <w:tc>
          <w:tcPr>
            <w:tcW w:type="dxa" w:w="1512"/>
            <w:tcMar>
              <w:top w:w="55" w:type="dxa"/>
              <w:start w:w="70" w:type="dxa"/>
              <w:bottom w:w="55" w:type="dxa"/>
              <w:end w:w="70" w:type="dxa"/>
            </w:tcMar>
            <w:vAlign w:val="top"/>
          </w:tcPr>
          <w:p>
            <w:pPr>
              <w:spacing w:after="10" w:line="240" w:lineRule="auto"/>
            </w:pPr>
            <w:r>
              <w:rPr>
                <w:rFonts w:ascii="Arial" w:hAnsi="Arial"/>
                <w:sz w:val="13"/>
              </w:rPr>
              <w:t>High</w:t>
            </w:r>
          </w:p>
        </w:tc>
        <w:tc>
          <w:tcPr>
            <w:tcW w:type="dxa" w:w="2016"/>
            <w:tcMar>
              <w:top w:w="55" w:type="dxa"/>
              <w:start w:w="70" w:type="dxa"/>
              <w:bottom w:w="55" w:type="dxa"/>
              <w:end w:w="70" w:type="dxa"/>
            </w:tcMar>
            <w:vAlign w:val="top"/>
          </w:tcPr>
          <w:p>
            <w:pPr>
              <w:spacing w:after="10" w:line="240" w:lineRule="auto"/>
            </w:pPr>
            <w:r>
              <w:rPr>
                <w:rFonts w:ascii="Arial" w:hAnsi="Arial"/>
                <w:sz w:val="13"/>
              </w:rPr>
              <w:t>Innovation-led</w:t>
            </w:r>
          </w:p>
        </w:tc>
        <w:tc>
          <w:tcPr>
            <w:tcW w:type="dxa" w:w="1656"/>
            <w:tcMar>
              <w:top w:w="55" w:type="dxa"/>
              <w:start w:w="70" w:type="dxa"/>
              <w:bottom w:w="55" w:type="dxa"/>
              <w:end w:w="70" w:type="dxa"/>
            </w:tcMar>
            <w:vAlign w:val="top"/>
          </w:tcPr>
          <w:p>
            <w:pPr>
              <w:spacing w:after="10" w:line="240" w:lineRule="auto"/>
            </w:pPr>
            <w:r>
              <w:rPr>
                <w:rFonts w:ascii="Arial" w:hAnsi="Arial"/>
                <w:sz w:val="13"/>
              </w:rPr>
              <w:t>Lower/volatile</w:t>
            </w:r>
          </w:p>
        </w:tc>
        <w:tc>
          <w:tcPr>
            <w:tcW w:type="dxa" w:w="1512"/>
            <w:tcMar>
              <w:top w:w="55" w:type="dxa"/>
              <w:start w:w="70" w:type="dxa"/>
              <w:bottom w:w="55" w:type="dxa"/>
              <w:end w:w="70" w:type="dxa"/>
            </w:tcMar>
            <w:vAlign w:val="top"/>
          </w:tcPr>
          <w:p>
            <w:pPr>
              <w:spacing w:after="10" w:line="240" w:lineRule="auto"/>
            </w:pPr>
            <w:r>
              <w:rPr>
                <w:rFonts w:ascii="Arial" w:hAnsi="Arial"/>
                <w:sz w:val="13"/>
              </w:rPr>
              <w:t>Net cash</w:t>
            </w:r>
          </w:p>
        </w:tc>
        <w:tc>
          <w:tcPr>
            <w:tcW w:type="dxa" w:w="1584"/>
            <w:tcMar>
              <w:top w:w="55" w:type="dxa"/>
              <w:start w:w="70" w:type="dxa"/>
              <w:bottom w:w="55" w:type="dxa"/>
              <w:end w:w="70" w:type="dxa"/>
            </w:tcMar>
            <w:vAlign w:val="top"/>
          </w:tcPr>
          <w:p>
            <w:pPr>
              <w:spacing w:after="10" w:line="240" w:lineRule="auto"/>
            </w:pPr>
            <w:r>
              <w:rPr>
                <w:rFonts w:ascii="Arial" w:hAnsi="Arial"/>
                <w:sz w:val="13"/>
              </w:rPr>
              <w:t>Clearer innovation cadence</w:t>
            </w:r>
          </w:p>
        </w:tc>
      </w:tr>
      <w:tr>
        <w:trPr>
          <w:cantSplit/>
        </w:trPr>
        <w:tc>
          <w:tcPr>
            <w:tcW w:type="dxa" w:w="1800"/>
            <w:shd w:fill="F7F7F7"/>
            <w:tcMar>
              <w:top w:w="55" w:type="dxa"/>
              <w:start w:w="70" w:type="dxa"/>
              <w:bottom w:w="55" w:type="dxa"/>
              <w:end w:w="70" w:type="dxa"/>
            </w:tcMar>
            <w:vAlign w:val="top"/>
          </w:tcPr>
          <w:p>
            <w:pPr>
              <w:spacing w:after="10" w:line="240" w:lineRule="auto"/>
            </w:pPr>
            <w:r>
              <w:rPr>
                <w:rFonts w:ascii="Arial" w:hAnsi="Arial"/>
                <w:b/>
                <w:sz w:val="13"/>
              </w:rPr>
              <w:t>Indian branded peers</w:t>
            </w:r>
          </w:p>
        </w:tc>
        <w:tc>
          <w:tcPr>
            <w:tcW w:type="dxa" w:w="2592"/>
            <w:shd w:fill="F7F7F7"/>
            <w:tcMar>
              <w:top w:w="55" w:type="dxa"/>
              <w:start w:w="70" w:type="dxa"/>
              <w:bottom w:w="55" w:type="dxa"/>
              <w:end w:w="70" w:type="dxa"/>
            </w:tcMar>
            <w:vAlign w:val="top"/>
          </w:tcPr>
          <w:p>
            <w:pPr>
              <w:spacing w:after="10" w:line="240" w:lineRule="auto"/>
            </w:pPr>
            <w:r>
              <w:rPr>
                <w:rFonts w:ascii="Arial" w:hAnsi="Arial"/>
                <w:sz w:val="13"/>
              </w:rPr>
              <w:t>Broad domestic chronic/acute</w:t>
            </w:r>
          </w:p>
        </w:tc>
        <w:tc>
          <w:tcPr>
            <w:tcW w:type="dxa" w:w="1512"/>
            <w:shd w:fill="F7F7F7"/>
            <w:tcMar>
              <w:top w:w="55" w:type="dxa"/>
              <w:start w:w="70" w:type="dxa"/>
              <w:bottom w:w="55" w:type="dxa"/>
              <w:end w:w="70" w:type="dxa"/>
            </w:tcMar>
            <w:vAlign w:val="top"/>
          </w:tcPr>
          <w:p>
            <w:pPr>
              <w:spacing w:after="10" w:line="240" w:lineRule="auto"/>
            </w:pPr>
            <w:r>
              <w:rPr>
                <w:rFonts w:ascii="Arial" w:hAnsi="Arial"/>
                <w:sz w:val="13"/>
              </w:rPr>
              <w:t>Mostly branded generics</w:t>
            </w:r>
          </w:p>
        </w:tc>
        <w:tc>
          <w:tcPr>
            <w:tcW w:type="dxa" w:w="2016"/>
            <w:shd w:fill="F7F7F7"/>
            <w:tcMar>
              <w:top w:w="55" w:type="dxa"/>
              <w:start w:w="70" w:type="dxa"/>
              <w:bottom w:w="55" w:type="dxa"/>
              <w:end w:w="70" w:type="dxa"/>
            </w:tcMar>
            <w:vAlign w:val="top"/>
          </w:tcPr>
          <w:p>
            <w:pPr>
              <w:spacing w:after="10" w:line="240" w:lineRule="auto"/>
            </w:pPr>
            <w:r>
              <w:rPr>
                <w:rFonts w:ascii="Arial" w:hAnsi="Arial"/>
                <w:sz w:val="13"/>
              </w:rPr>
              <w:t>More diversified</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3"/>
              </w:rPr>
              <w:t>Varies</w:t>
            </w:r>
          </w:p>
        </w:tc>
        <w:tc>
          <w:tcPr>
            <w:tcW w:type="dxa" w:w="1512"/>
            <w:shd w:fill="F7F7F7"/>
            <w:tcMar>
              <w:top w:w="55" w:type="dxa"/>
              <w:start w:w="70" w:type="dxa"/>
              <w:bottom w:w="55" w:type="dxa"/>
              <w:end w:w="70" w:type="dxa"/>
            </w:tcMar>
            <w:vAlign w:val="top"/>
          </w:tcPr>
          <w:p>
            <w:pPr>
              <w:spacing w:after="10" w:line="240" w:lineRule="auto"/>
            </w:pPr>
            <w:r>
              <w:rPr>
                <w:rFonts w:ascii="Arial" w:hAnsi="Arial"/>
                <w:sz w:val="13"/>
              </w:rPr>
              <w:t>Varies</w:t>
            </w:r>
          </w:p>
        </w:tc>
        <w:tc>
          <w:tcPr>
            <w:tcW w:type="dxa" w:w="1584"/>
            <w:shd w:fill="F7F7F7"/>
            <w:tcMar>
              <w:top w:w="55" w:type="dxa"/>
              <w:start w:w="70" w:type="dxa"/>
              <w:bottom w:w="55" w:type="dxa"/>
              <w:end w:w="70" w:type="dxa"/>
            </w:tcMar>
            <w:vAlign w:val="top"/>
          </w:tcPr>
          <w:p>
            <w:pPr>
              <w:spacing w:after="10" w:line="240" w:lineRule="auto"/>
            </w:pPr>
            <w:r>
              <w:rPr>
                <w:rFonts w:ascii="Arial" w:hAnsi="Arial"/>
                <w:sz w:val="13"/>
              </w:rPr>
              <w:t>No parent-allocation issue</w:t>
            </w:r>
          </w:p>
        </w:tc>
      </w:tr>
    </w:tbl>
    <w:p>
      <w:pPr>
        <w:pStyle w:val="Source"/>
      </w:pPr>
      <w:r>
        <w:t>Source: Pfizer [S1]. Peer observations from latest public annual reports and market snapshots. Comparable field-force productivity and innovation-share definitions are not consistently disclosed and could not be verified.</w:t>
      </w:r>
    </w:p>
    <w:p>
      <w:pPr>
        <w:pStyle w:val="Heading2"/>
      </w:pPr>
      <w:r>
        <w:t>Distribution and commercial model</w:t>
      </w:r>
    </w:p>
    <w:p>
      <w:r>
        <w:t>Pfizer Limited uses a hybrid model. Specialist teams cover vaccines, internal medicine, hospitals, women’s health and I&amp;I. Partners add reach: GoApptiv for consumer-centric brands, Cipla for four mature brands and Mylan for Ativan/Pacitane. FY26 had 1,244 permanent employees, of whom 1,209 were classified as permanent employees and 35 as permanent workers in BRSR disclosures. The company does not disclose medical-representative count, prescriptions per representative or field-force cost by franchise. [S1, pp. 52-57, 80-110]</w:t>
      </w:r>
    </w:p>
    <w:p>
      <w:r>
        <w:t>The operational bottleneck is specialist coverage, not manufacturing capacity. Prevenar 20, Nurtec and Emblaveo need distinct physician education and patient identification. Outsourcing mature brands releases field-force capacity but also makes revenue dependent on partner execution. The FY26 ₹41.73 crore separation charge confirms a commercial reset, not just back-office efficiency. [S1, note 44]</w:t>
      </w:r>
    </w:p>
    <w:p>
      <w:pPr>
        <w:pStyle w:val="Heading2"/>
      </w:pPr>
      <w:r>
        <w:t>Manufacturing and supply chain</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584"/>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Node</w:t>
            </w:r>
          </w:p>
        </w:tc>
        <w:tc>
          <w:tcPr>
            <w:tcW w:type="dxa" w:w="1584"/>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Ownership</w:t>
            </w:r>
          </w:p>
        </w:tc>
        <w:tc>
          <w:tcPr>
            <w:tcW w:type="dxa" w:w="2664"/>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Products/functions</w:t>
            </w:r>
          </w:p>
        </w:tc>
        <w:tc>
          <w:tcPr>
            <w:tcW w:type="dxa" w:w="2304"/>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Scale</w:t>
            </w:r>
          </w:p>
        </w:tc>
        <w:tc>
          <w:tcPr>
            <w:tcW w:type="dxa" w:w="2664"/>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Investor implication</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4"/>
              </w:rPr>
              <w:t>Goa plant</w:t>
            </w:r>
          </w:p>
        </w:tc>
        <w:tc>
          <w:tcPr>
            <w:tcW w:type="dxa" w:w="1584"/>
            <w:tcMar>
              <w:top w:w="55" w:type="dxa"/>
              <w:start w:w="70" w:type="dxa"/>
              <w:bottom w:w="55" w:type="dxa"/>
              <w:end w:w="70" w:type="dxa"/>
            </w:tcMar>
            <w:vAlign w:val="top"/>
          </w:tcPr>
          <w:p>
            <w:pPr>
              <w:spacing w:after="10" w:line="240" w:lineRule="auto"/>
            </w:pPr>
            <w:r>
              <w:rPr>
                <w:rFonts w:ascii="Arial" w:hAnsi="Arial"/>
                <w:sz w:val="14"/>
              </w:rPr>
              <w:t>Owned</w:t>
            </w:r>
          </w:p>
        </w:tc>
        <w:tc>
          <w:tcPr>
            <w:tcW w:type="dxa" w:w="2664"/>
            <w:tcMar>
              <w:top w:w="55" w:type="dxa"/>
              <w:start w:w="70" w:type="dxa"/>
              <w:bottom w:w="55" w:type="dxa"/>
              <w:end w:w="70" w:type="dxa"/>
            </w:tcMar>
            <w:vAlign w:val="top"/>
          </w:tcPr>
          <w:p>
            <w:pPr>
              <w:spacing w:after="10" w:line="240" w:lineRule="auto"/>
            </w:pPr>
            <w:r>
              <w:rPr>
                <w:rFonts w:ascii="Arial" w:hAnsi="Arial"/>
                <w:sz w:val="14"/>
              </w:rPr>
              <w:t>Wysolone, Folvite, Feldene, Ovral, Mucaine</w:t>
            </w:r>
          </w:p>
        </w:tc>
        <w:tc>
          <w:tcPr>
            <w:tcW w:type="dxa" w:w="2304"/>
            <w:tcMar>
              <w:top w:w="55" w:type="dxa"/>
              <w:start w:w="70" w:type="dxa"/>
              <w:bottom w:w="55" w:type="dxa"/>
              <w:end w:w="70" w:type="dxa"/>
            </w:tcMar>
            <w:vAlign w:val="top"/>
          </w:tcPr>
          <w:p>
            <w:pPr>
              <w:spacing w:after="10" w:line="240" w:lineRule="auto"/>
            </w:pPr>
            <w:r>
              <w:rPr>
                <w:rFonts w:ascii="Arial" w:hAnsi="Arial"/>
                <w:sz w:val="14"/>
              </w:rPr>
              <w:t>4bn tablets capacity; utilisation N/D</w:t>
            </w:r>
          </w:p>
        </w:tc>
        <w:tc>
          <w:tcPr>
            <w:tcW w:type="dxa" w:w="2664"/>
            <w:tcMar>
              <w:top w:w="55" w:type="dxa"/>
              <w:start w:w="70" w:type="dxa"/>
              <w:bottom w:w="55" w:type="dxa"/>
              <w:end w:w="70" w:type="dxa"/>
            </w:tcMar>
            <w:vAlign w:val="top"/>
          </w:tcPr>
          <w:p>
            <w:pPr>
              <w:spacing w:after="10" w:line="240" w:lineRule="auto"/>
            </w:pPr>
            <w:r>
              <w:rPr>
                <w:rFonts w:ascii="Arial" w:hAnsi="Arial"/>
                <w:sz w:val="14"/>
              </w:rPr>
              <w:t>Low-capital local manufacturing</w:t>
            </w:r>
          </w:p>
        </w:tc>
      </w:tr>
      <w:tr>
        <w:trPr>
          <w:cantSplit/>
        </w:trPr>
        <w:tc>
          <w:tcPr>
            <w:tcW w:type="dxa" w:w="1584"/>
            <w:shd w:fill="F7F7F7"/>
            <w:tcMar>
              <w:top w:w="55" w:type="dxa"/>
              <w:start w:w="70" w:type="dxa"/>
              <w:bottom w:w="55" w:type="dxa"/>
              <w:end w:w="70" w:type="dxa"/>
            </w:tcMar>
            <w:vAlign w:val="top"/>
          </w:tcPr>
          <w:p>
            <w:pPr>
              <w:spacing w:after="10" w:line="240" w:lineRule="auto"/>
            </w:pPr>
            <w:r>
              <w:rPr>
                <w:rFonts w:ascii="Arial" w:hAnsi="Arial"/>
                <w:b/>
                <w:sz w:val="14"/>
              </w:rPr>
              <w:t>Pfizer affiliate supply</w:t>
            </w:r>
          </w:p>
        </w:tc>
        <w:tc>
          <w:tcPr>
            <w:tcW w:type="dxa" w:w="1584"/>
            <w:shd w:fill="F7F7F7"/>
            <w:tcMar>
              <w:top w:w="55" w:type="dxa"/>
              <w:start w:w="70" w:type="dxa"/>
              <w:bottom w:w="55" w:type="dxa"/>
              <w:end w:w="70" w:type="dxa"/>
            </w:tcMar>
            <w:vAlign w:val="top"/>
          </w:tcPr>
          <w:p>
            <w:pPr>
              <w:spacing w:after="10" w:line="240" w:lineRule="auto"/>
            </w:pPr>
            <w:r>
              <w:rPr>
                <w:rFonts w:ascii="Arial" w:hAnsi="Arial"/>
                <w:sz w:val="14"/>
              </w:rPr>
              <w:t>Related party</w:t>
            </w:r>
          </w:p>
        </w:tc>
        <w:tc>
          <w:tcPr>
            <w:tcW w:type="dxa" w:w="2664"/>
            <w:shd w:fill="F7F7F7"/>
            <w:tcMar>
              <w:top w:w="55" w:type="dxa"/>
              <w:start w:w="70" w:type="dxa"/>
              <w:bottom w:w="55" w:type="dxa"/>
              <w:end w:w="70" w:type="dxa"/>
            </w:tcMar>
            <w:vAlign w:val="top"/>
          </w:tcPr>
          <w:p>
            <w:pPr>
              <w:spacing w:after="10" w:line="240" w:lineRule="auto"/>
            </w:pPr>
            <w:r>
              <w:rPr>
                <w:rFonts w:ascii="Arial" w:hAnsi="Arial"/>
                <w:sz w:val="14"/>
              </w:rPr>
              <w:t>Finished goods across imported portfolio</w:t>
            </w:r>
          </w:p>
        </w:tc>
        <w:tc>
          <w:tcPr>
            <w:tcW w:type="dxa" w:w="2304"/>
            <w:shd w:fill="F7F7F7"/>
            <w:tcMar>
              <w:top w:w="55" w:type="dxa"/>
              <w:start w:w="70" w:type="dxa"/>
              <w:bottom w:w="55" w:type="dxa"/>
              <w:end w:w="70" w:type="dxa"/>
            </w:tcMar>
            <w:vAlign w:val="top"/>
          </w:tcPr>
          <w:p>
            <w:pPr>
              <w:spacing w:after="10" w:line="240" w:lineRule="auto"/>
            </w:pPr>
            <w:r>
              <w:rPr>
                <w:rFonts w:ascii="Arial" w:hAnsi="Arial"/>
                <w:sz w:val="14"/>
              </w:rPr>
              <w:t>FY26 stock-in-trade purchases ₹522.94cr</w:t>
            </w:r>
          </w:p>
        </w:tc>
        <w:tc>
          <w:tcPr>
            <w:tcW w:type="dxa" w:w="2664"/>
            <w:shd w:fill="F7F7F7"/>
            <w:tcMar>
              <w:top w:w="55" w:type="dxa"/>
              <w:start w:w="70" w:type="dxa"/>
              <w:bottom w:w="55" w:type="dxa"/>
              <w:end w:w="70" w:type="dxa"/>
            </w:tcMar>
            <w:vAlign w:val="top"/>
          </w:tcPr>
          <w:p>
            <w:pPr>
              <w:spacing w:after="10" w:line="240" w:lineRule="auto"/>
            </w:pPr>
            <w:r>
              <w:rPr>
                <w:rFonts w:ascii="Arial" w:hAnsi="Arial"/>
                <w:sz w:val="14"/>
              </w:rPr>
              <w:t>FX and transfer-price sensitivity</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4"/>
              </w:rPr>
              <w:t>Pfizer affiliate raw/bulk supply</w:t>
            </w:r>
          </w:p>
        </w:tc>
        <w:tc>
          <w:tcPr>
            <w:tcW w:type="dxa" w:w="1584"/>
            <w:tcMar>
              <w:top w:w="55" w:type="dxa"/>
              <w:start w:w="70" w:type="dxa"/>
              <w:bottom w:w="55" w:type="dxa"/>
              <w:end w:w="70" w:type="dxa"/>
            </w:tcMar>
            <w:vAlign w:val="top"/>
          </w:tcPr>
          <w:p>
            <w:pPr>
              <w:spacing w:after="10" w:line="240" w:lineRule="auto"/>
            </w:pPr>
            <w:r>
              <w:rPr>
                <w:rFonts w:ascii="Arial" w:hAnsi="Arial"/>
                <w:sz w:val="14"/>
              </w:rPr>
              <w:t>Related party</w:t>
            </w:r>
          </w:p>
        </w:tc>
        <w:tc>
          <w:tcPr>
            <w:tcW w:type="dxa" w:w="2664"/>
            <w:tcMar>
              <w:top w:w="55" w:type="dxa"/>
              <w:start w:w="70" w:type="dxa"/>
              <w:bottom w:w="55" w:type="dxa"/>
              <w:end w:w="70" w:type="dxa"/>
            </w:tcMar>
            <w:vAlign w:val="top"/>
          </w:tcPr>
          <w:p>
            <w:pPr>
              <w:spacing w:after="10" w:line="240" w:lineRule="auto"/>
            </w:pPr>
            <w:r>
              <w:rPr>
                <w:rFonts w:ascii="Arial" w:hAnsi="Arial"/>
                <w:sz w:val="14"/>
              </w:rPr>
              <w:t>Materials for local/contract manufacture</w:t>
            </w:r>
          </w:p>
        </w:tc>
        <w:tc>
          <w:tcPr>
            <w:tcW w:type="dxa" w:w="2304"/>
            <w:tcMar>
              <w:top w:w="55" w:type="dxa"/>
              <w:start w:w="70" w:type="dxa"/>
              <w:bottom w:w="55" w:type="dxa"/>
              <w:end w:w="70" w:type="dxa"/>
            </w:tcMar>
            <w:vAlign w:val="top"/>
          </w:tcPr>
          <w:p>
            <w:pPr>
              <w:spacing w:after="10" w:line="240" w:lineRule="auto"/>
            </w:pPr>
            <w:r>
              <w:rPr>
                <w:rFonts w:ascii="Arial" w:hAnsi="Arial"/>
                <w:sz w:val="14"/>
              </w:rPr>
              <w:t>FY26 ₹49.04cr</w:t>
            </w:r>
          </w:p>
        </w:tc>
        <w:tc>
          <w:tcPr>
            <w:tcW w:type="dxa" w:w="2664"/>
            <w:tcMar>
              <w:top w:w="55" w:type="dxa"/>
              <w:start w:w="70" w:type="dxa"/>
              <w:bottom w:w="55" w:type="dxa"/>
              <w:end w:w="70" w:type="dxa"/>
            </w:tcMar>
            <w:vAlign w:val="top"/>
          </w:tcPr>
          <w:p>
            <w:pPr>
              <w:spacing w:after="10" w:line="240" w:lineRule="auto"/>
            </w:pPr>
            <w:r>
              <w:rPr>
                <w:rFonts w:ascii="Arial" w:hAnsi="Arial"/>
                <w:sz w:val="14"/>
              </w:rPr>
              <w:t>Lower than FY25 ₹125.15cr</w:t>
            </w:r>
          </w:p>
        </w:tc>
      </w:tr>
      <w:tr>
        <w:trPr>
          <w:cantSplit/>
        </w:trPr>
        <w:tc>
          <w:tcPr>
            <w:tcW w:type="dxa" w:w="1584"/>
            <w:shd w:fill="F7F7F7"/>
            <w:tcMar>
              <w:top w:w="55" w:type="dxa"/>
              <w:start w:w="70" w:type="dxa"/>
              <w:bottom w:w="55" w:type="dxa"/>
              <w:end w:w="70" w:type="dxa"/>
            </w:tcMar>
            <w:vAlign w:val="top"/>
          </w:tcPr>
          <w:p>
            <w:pPr>
              <w:spacing w:after="10" w:line="240" w:lineRule="auto"/>
            </w:pPr>
            <w:r>
              <w:rPr>
                <w:rFonts w:ascii="Arial" w:hAnsi="Arial"/>
                <w:b/>
                <w:sz w:val="14"/>
              </w:rPr>
              <w:t>Contract manufacturers</w:t>
            </w:r>
          </w:p>
        </w:tc>
        <w:tc>
          <w:tcPr>
            <w:tcW w:type="dxa" w:w="1584"/>
            <w:shd w:fill="F7F7F7"/>
            <w:tcMar>
              <w:top w:w="55" w:type="dxa"/>
              <w:start w:w="70" w:type="dxa"/>
              <w:bottom w:w="55" w:type="dxa"/>
              <w:end w:w="70" w:type="dxa"/>
            </w:tcMar>
            <w:vAlign w:val="top"/>
          </w:tcPr>
          <w:p>
            <w:pPr>
              <w:spacing w:after="10" w:line="240" w:lineRule="auto"/>
            </w:pPr>
            <w:r>
              <w:rPr>
                <w:rFonts w:ascii="Arial" w:hAnsi="Arial"/>
                <w:sz w:val="14"/>
              </w:rPr>
              <w:t>Third party</w:t>
            </w:r>
          </w:p>
        </w:tc>
        <w:tc>
          <w:tcPr>
            <w:tcW w:type="dxa" w:w="2664"/>
            <w:shd w:fill="F7F7F7"/>
            <w:tcMar>
              <w:top w:w="55" w:type="dxa"/>
              <w:start w:w="70" w:type="dxa"/>
              <w:bottom w:w="55" w:type="dxa"/>
              <w:end w:w="70" w:type="dxa"/>
            </w:tcMar>
            <w:vAlign w:val="top"/>
          </w:tcPr>
          <w:p>
            <w:pPr>
              <w:spacing w:after="10" w:line="240" w:lineRule="auto"/>
            </w:pPr>
            <w:r>
              <w:rPr>
                <w:rFonts w:ascii="Arial" w:hAnsi="Arial"/>
                <w:sz w:val="14"/>
              </w:rPr>
              <w:t>Portfolio-dependent</w:t>
            </w:r>
          </w:p>
        </w:tc>
        <w:tc>
          <w:tcPr>
            <w:tcW w:type="dxa" w:w="2304"/>
            <w:shd w:fill="F7F7F7"/>
            <w:tcMar>
              <w:top w:w="55" w:type="dxa"/>
              <w:start w:w="70" w:type="dxa"/>
              <w:bottom w:w="55" w:type="dxa"/>
              <w:end w:w="70" w:type="dxa"/>
            </w:tcMar>
            <w:vAlign w:val="top"/>
          </w:tcPr>
          <w:p>
            <w:pPr>
              <w:spacing w:after="10" w:line="240" w:lineRule="auto"/>
            </w:pPr>
            <w:r>
              <w:rPr>
                <w:rFonts w:ascii="Arial" w:hAnsi="Arial"/>
                <w:sz w:val="14"/>
              </w:rPr>
              <w:t>Names/capacity N/D</w:t>
            </w:r>
          </w:p>
        </w:tc>
        <w:tc>
          <w:tcPr>
            <w:tcW w:type="dxa" w:w="2664"/>
            <w:shd w:fill="F7F7F7"/>
            <w:tcMar>
              <w:top w:w="55" w:type="dxa"/>
              <w:start w:w="70" w:type="dxa"/>
              <w:bottom w:w="55" w:type="dxa"/>
              <w:end w:w="70" w:type="dxa"/>
            </w:tcMar>
            <w:vAlign w:val="top"/>
          </w:tcPr>
          <w:p>
            <w:pPr>
              <w:spacing w:after="10" w:line="240" w:lineRule="auto"/>
            </w:pPr>
            <w:r>
              <w:rPr>
                <w:rFonts w:ascii="Arial" w:hAnsi="Arial"/>
                <w:sz w:val="14"/>
              </w:rPr>
              <w:t>Supports asset-light model</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4"/>
              </w:rPr>
              <w:t>Thane</w:t>
            </w:r>
          </w:p>
        </w:tc>
        <w:tc>
          <w:tcPr>
            <w:tcW w:type="dxa" w:w="1584"/>
            <w:tcMar>
              <w:top w:w="55" w:type="dxa"/>
              <w:start w:w="70" w:type="dxa"/>
              <w:bottom w:w="55" w:type="dxa"/>
              <w:end w:w="70" w:type="dxa"/>
            </w:tcMar>
            <w:vAlign w:val="top"/>
          </w:tcPr>
          <w:p>
            <w:pPr>
              <w:spacing w:after="10" w:line="240" w:lineRule="auto"/>
            </w:pPr>
            <w:r>
              <w:rPr>
                <w:rFonts w:ascii="Arial" w:hAnsi="Arial"/>
                <w:sz w:val="14"/>
              </w:rPr>
              <w:t>Divested</w:t>
            </w:r>
          </w:p>
        </w:tc>
        <w:tc>
          <w:tcPr>
            <w:tcW w:type="dxa" w:w="2664"/>
            <w:tcMar>
              <w:top w:w="55" w:type="dxa"/>
              <w:start w:w="70" w:type="dxa"/>
              <w:bottom w:w="55" w:type="dxa"/>
              <w:end w:w="70" w:type="dxa"/>
            </w:tcMar>
            <w:vAlign w:val="top"/>
          </w:tcPr>
          <w:p>
            <w:pPr>
              <w:spacing w:after="10" w:line="240" w:lineRule="auto"/>
            </w:pPr>
            <w:r>
              <w:rPr>
                <w:rFonts w:ascii="Arial" w:hAnsi="Arial"/>
                <w:sz w:val="14"/>
              </w:rPr>
              <w:t>No current production</w:t>
            </w:r>
          </w:p>
        </w:tc>
        <w:tc>
          <w:tcPr>
            <w:tcW w:type="dxa" w:w="2304"/>
            <w:tcMar>
              <w:top w:w="55" w:type="dxa"/>
              <w:start w:w="70" w:type="dxa"/>
              <w:bottom w:w="55" w:type="dxa"/>
              <w:end w:w="70" w:type="dxa"/>
            </w:tcMar>
            <w:vAlign w:val="top"/>
          </w:tcPr>
          <w:p>
            <w:pPr>
              <w:spacing w:after="10" w:line="240" w:lineRule="auto"/>
            </w:pPr>
            <w:r>
              <w:rPr>
                <w:rFonts w:ascii="Arial" w:hAnsi="Arial"/>
                <w:sz w:val="14"/>
              </w:rPr>
              <w:t>Business sold FY23; land/building sold FY25</w:t>
            </w:r>
          </w:p>
        </w:tc>
        <w:tc>
          <w:tcPr>
            <w:tcW w:type="dxa" w:w="2664"/>
            <w:tcMar>
              <w:top w:w="55" w:type="dxa"/>
              <w:start w:w="70" w:type="dxa"/>
              <w:bottom w:w="55" w:type="dxa"/>
              <w:end w:w="70" w:type="dxa"/>
            </w:tcMar>
            <w:vAlign w:val="top"/>
          </w:tcPr>
          <w:p>
            <w:pPr>
              <w:spacing w:after="10" w:line="240" w:lineRule="auto"/>
            </w:pPr>
            <w:r>
              <w:rPr>
                <w:rFonts w:ascii="Arial" w:hAnsi="Arial"/>
                <w:sz w:val="14"/>
              </w:rPr>
              <w:t>Removed fixed assets and created one-offs</w:t>
            </w:r>
          </w:p>
        </w:tc>
      </w:tr>
    </w:tbl>
    <w:p>
      <w:pPr>
        <w:pStyle w:val="ExhibitTitle"/>
      </w:pPr>
      <w:r>
        <w:t>Exhibit 9. The supply chain is asset-light but affiliate-dependent</w:t>
      </w:r>
    </w:p>
    <w:p>
      <w:r>
        <w:rPr>
          <w:color w:val="59636E"/>
          <w:sz w:val="15"/>
        </w:rPr>
        <w:t>Goa anchors selected mature products. Imported and affiliate-supplied products drive working-capital and gross-margin sensitivity.</w:t>
      </w:r>
    </w:p>
    <w:p>
      <w:pPr>
        <w:pStyle w:val="Source"/>
      </w:pPr>
      <w:r>
        <w:t>Source: Pfizer manufacturing page [S8]; FY26 related-party note [S1]; FY23-FY25 annual reports [S23-S25]. No material CDSCO quality action was identified in the reviewed evidence.</w:t>
      </w:r>
    </w:p>
    <w:p>
      <w:pPr>
        <w:pStyle w:val="Heading1"/>
      </w:pPr>
      <w:r>
        <w:t>PART VI: Financial quality and forecasts</w:t>
      </w:r>
    </w:p>
    <w:tbl>
      <w:tblPr>
        <w:tblStyle w:val="TableGrid"/>
        <w:tblW w:type="auto" w:w="0"/>
        <w:jc w:val="center"/>
        <w:tblLayout w:type="fixed"/>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rPr>
          <w:tblHeader w:val="true"/>
        </w:trPr>
        <w:tc>
          <w:tcPr>
            <w:tcW w:type="dxa" w:w="792"/>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Year</w:t>
            </w:r>
          </w:p>
        </w:tc>
        <w:tc>
          <w:tcPr>
            <w:tcW w:type="dxa" w:w="1008"/>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Revenue</w:t>
            </w:r>
          </w:p>
        </w:tc>
        <w:tc>
          <w:tcPr>
            <w:tcW w:type="dxa" w:w="792"/>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Growth</w:t>
            </w:r>
          </w:p>
        </w:tc>
        <w:tc>
          <w:tcPr>
            <w:tcW w:type="dxa" w:w="1008"/>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Gross margin</w:t>
            </w:r>
          </w:p>
        </w:tc>
        <w:tc>
          <w:tcPr>
            <w:tcW w:type="dxa" w:w="936"/>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Employee</w:t>
            </w:r>
          </w:p>
        </w:tc>
        <w:tc>
          <w:tcPr>
            <w:tcW w:type="dxa" w:w="936"/>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Other opex</w:t>
            </w:r>
          </w:p>
        </w:tc>
        <w:tc>
          <w:tcPr>
            <w:tcW w:type="dxa" w:w="1008"/>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Op EBITDA</w:t>
            </w:r>
          </w:p>
        </w:tc>
        <w:tc>
          <w:tcPr>
            <w:tcW w:type="dxa" w:w="864"/>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EBITDA %</w:t>
            </w:r>
          </w:p>
        </w:tc>
        <w:tc>
          <w:tcPr>
            <w:tcW w:type="dxa" w:w="936"/>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Other income</w:t>
            </w:r>
          </w:p>
        </w:tc>
        <w:tc>
          <w:tcPr>
            <w:tcW w:type="dxa" w:w="936"/>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Core PBT</w:t>
            </w:r>
          </w:p>
        </w:tc>
        <w:tc>
          <w:tcPr>
            <w:tcW w:type="dxa" w:w="1008"/>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Reported PBT</w:t>
            </w:r>
          </w:p>
        </w:tc>
        <w:tc>
          <w:tcPr>
            <w:tcW w:type="dxa" w:w="936"/>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PAT</w:t>
            </w:r>
          </w:p>
        </w:tc>
        <w:tc>
          <w:tcPr>
            <w:tcW w:type="dxa" w:w="792"/>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EPS</w:t>
            </w:r>
          </w:p>
        </w:tc>
      </w:tr>
      <w:tr>
        <w:trPr>
          <w:cantSplit/>
        </w:trPr>
        <w:tc>
          <w:tcPr>
            <w:tcW w:type="dxa" w:w="792"/>
            <w:tcMar>
              <w:top w:w="55" w:type="dxa"/>
              <w:start w:w="70" w:type="dxa"/>
              <w:bottom w:w="55" w:type="dxa"/>
              <w:end w:w="70" w:type="dxa"/>
            </w:tcMar>
            <w:vAlign w:val="top"/>
          </w:tcPr>
          <w:p>
            <w:pPr>
              <w:spacing w:after="10" w:line="240" w:lineRule="auto"/>
            </w:pPr>
            <w:r>
              <w:rPr>
                <w:rFonts w:ascii="Arial" w:hAnsi="Arial"/>
                <w:b/>
                <w:sz w:val="11"/>
              </w:rPr>
              <w:t>FY17</w:t>
            </w:r>
          </w:p>
        </w:tc>
        <w:tc>
          <w:tcPr>
            <w:tcW w:type="dxa" w:w="1008"/>
            <w:tcMar>
              <w:top w:w="55" w:type="dxa"/>
              <w:start w:w="70" w:type="dxa"/>
              <w:bottom w:w="55" w:type="dxa"/>
              <w:end w:w="70" w:type="dxa"/>
            </w:tcMar>
            <w:vAlign w:val="top"/>
          </w:tcPr>
          <w:p>
            <w:pPr>
              <w:spacing w:after="10" w:line="240" w:lineRule="auto"/>
            </w:pPr>
            <w:r>
              <w:rPr>
                <w:rFonts w:ascii="Arial" w:hAnsi="Arial"/>
                <w:sz w:val="11"/>
              </w:rPr>
              <w:t>2,042</w:t>
            </w:r>
          </w:p>
        </w:tc>
        <w:tc>
          <w:tcPr>
            <w:tcW w:type="dxa" w:w="792"/>
            <w:tcMar>
              <w:top w:w="55" w:type="dxa"/>
              <w:start w:w="70" w:type="dxa"/>
              <w:bottom w:w="55" w:type="dxa"/>
              <w:end w:w="70" w:type="dxa"/>
            </w:tcMar>
            <w:vAlign w:val="top"/>
          </w:tcPr>
          <w:p>
            <w:pPr>
              <w:spacing w:after="10" w:line="240" w:lineRule="auto"/>
            </w:pPr>
            <w:r>
              <w:rPr>
                <w:rFonts w:ascii="Arial" w:hAnsi="Arial"/>
                <w:sz w:val="11"/>
              </w:rPr>
              <w:t>N/M</w:t>
            </w:r>
          </w:p>
        </w:tc>
        <w:tc>
          <w:tcPr>
            <w:tcW w:type="dxa" w:w="1008"/>
            <w:tcMar>
              <w:top w:w="55" w:type="dxa"/>
              <w:start w:w="70" w:type="dxa"/>
              <w:bottom w:w="55" w:type="dxa"/>
              <w:end w:w="70" w:type="dxa"/>
            </w:tcMar>
            <w:vAlign w:val="top"/>
          </w:tcPr>
          <w:p>
            <w:pPr>
              <w:spacing w:after="10" w:line="240" w:lineRule="auto"/>
            </w:pPr>
            <w:r>
              <w:rPr>
                <w:rFonts w:ascii="Arial" w:hAnsi="Arial"/>
                <w:sz w:val="11"/>
              </w:rPr>
              <w:t>57.3%</w:t>
            </w:r>
          </w:p>
        </w:tc>
        <w:tc>
          <w:tcPr>
            <w:tcW w:type="dxa" w:w="936"/>
            <w:tcMar>
              <w:top w:w="55" w:type="dxa"/>
              <w:start w:w="70" w:type="dxa"/>
              <w:bottom w:w="55" w:type="dxa"/>
              <w:end w:w="70" w:type="dxa"/>
            </w:tcMar>
            <w:vAlign w:val="top"/>
          </w:tcPr>
          <w:p>
            <w:pPr>
              <w:spacing w:after="10" w:line="240" w:lineRule="auto"/>
            </w:pPr>
            <w:r>
              <w:rPr>
                <w:rFonts w:ascii="Arial" w:hAnsi="Arial"/>
                <w:sz w:val="11"/>
              </w:rPr>
              <w:t>304</w:t>
            </w:r>
          </w:p>
        </w:tc>
        <w:tc>
          <w:tcPr>
            <w:tcW w:type="dxa" w:w="936"/>
            <w:tcMar>
              <w:top w:w="55" w:type="dxa"/>
              <w:start w:w="70" w:type="dxa"/>
              <w:bottom w:w="55" w:type="dxa"/>
              <w:end w:w="70" w:type="dxa"/>
            </w:tcMar>
            <w:vAlign w:val="top"/>
          </w:tcPr>
          <w:p>
            <w:pPr>
              <w:spacing w:after="10" w:line="240" w:lineRule="auto"/>
            </w:pPr>
            <w:r>
              <w:rPr>
                <w:rFonts w:ascii="Arial" w:hAnsi="Arial"/>
                <w:sz w:val="11"/>
              </w:rPr>
              <w:t>517</w:t>
            </w:r>
          </w:p>
        </w:tc>
        <w:tc>
          <w:tcPr>
            <w:tcW w:type="dxa" w:w="1008"/>
            <w:tcMar>
              <w:top w:w="55" w:type="dxa"/>
              <w:start w:w="70" w:type="dxa"/>
              <w:bottom w:w="55" w:type="dxa"/>
              <w:end w:w="70" w:type="dxa"/>
            </w:tcMar>
            <w:vAlign w:val="top"/>
          </w:tcPr>
          <w:p>
            <w:pPr>
              <w:spacing w:after="10" w:line="240" w:lineRule="auto"/>
            </w:pPr>
            <w:r>
              <w:rPr>
                <w:rFonts w:ascii="Arial" w:hAnsi="Arial"/>
                <w:sz w:val="11"/>
              </w:rPr>
              <w:t>349</w:t>
            </w:r>
          </w:p>
        </w:tc>
        <w:tc>
          <w:tcPr>
            <w:tcW w:type="dxa" w:w="864"/>
            <w:tcMar>
              <w:top w:w="55" w:type="dxa"/>
              <w:start w:w="70" w:type="dxa"/>
              <w:bottom w:w="55" w:type="dxa"/>
              <w:end w:w="70" w:type="dxa"/>
            </w:tcMar>
            <w:vAlign w:val="top"/>
          </w:tcPr>
          <w:p>
            <w:pPr>
              <w:spacing w:after="10" w:line="240" w:lineRule="auto"/>
            </w:pPr>
            <w:r>
              <w:rPr>
                <w:rFonts w:ascii="Arial" w:hAnsi="Arial"/>
                <w:sz w:val="11"/>
              </w:rPr>
              <w:t>17.1%</w:t>
            </w:r>
          </w:p>
        </w:tc>
        <w:tc>
          <w:tcPr>
            <w:tcW w:type="dxa" w:w="936"/>
            <w:tcMar>
              <w:top w:w="55" w:type="dxa"/>
              <w:start w:w="70" w:type="dxa"/>
              <w:bottom w:w="55" w:type="dxa"/>
              <w:end w:w="70" w:type="dxa"/>
            </w:tcMar>
            <w:vAlign w:val="top"/>
          </w:tcPr>
          <w:p>
            <w:pPr>
              <w:spacing w:after="10" w:line="240" w:lineRule="auto"/>
            </w:pPr>
            <w:r>
              <w:rPr>
                <w:rFonts w:ascii="Arial" w:hAnsi="Arial"/>
                <w:sz w:val="11"/>
              </w:rPr>
              <w:t>101</w:t>
            </w:r>
          </w:p>
        </w:tc>
        <w:tc>
          <w:tcPr>
            <w:tcW w:type="dxa" w:w="936"/>
            <w:tcMar>
              <w:top w:w="55" w:type="dxa"/>
              <w:start w:w="70" w:type="dxa"/>
              <w:bottom w:w="55" w:type="dxa"/>
              <w:end w:w="70" w:type="dxa"/>
            </w:tcMar>
            <w:vAlign w:val="top"/>
          </w:tcPr>
          <w:p>
            <w:pPr>
              <w:spacing w:after="10" w:line="240" w:lineRule="auto"/>
            </w:pPr>
            <w:r>
              <w:rPr>
                <w:rFonts w:ascii="Arial" w:hAnsi="Arial"/>
                <w:sz w:val="11"/>
              </w:rPr>
              <w:t>386</w:t>
            </w:r>
          </w:p>
        </w:tc>
        <w:tc>
          <w:tcPr>
            <w:tcW w:type="dxa" w:w="1008"/>
            <w:tcMar>
              <w:top w:w="55" w:type="dxa"/>
              <w:start w:w="70" w:type="dxa"/>
              <w:bottom w:w="55" w:type="dxa"/>
              <w:end w:w="70" w:type="dxa"/>
            </w:tcMar>
            <w:vAlign w:val="top"/>
          </w:tcPr>
          <w:p>
            <w:pPr>
              <w:spacing w:after="10" w:line="240" w:lineRule="auto"/>
            </w:pPr>
            <w:r>
              <w:rPr>
                <w:rFonts w:ascii="Arial" w:hAnsi="Arial"/>
                <w:sz w:val="11"/>
              </w:rPr>
              <w:t>517</w:t>
            </w:r>
          </w:p>
        </w:tc>
        <w:tc>
          <w:tcPr>
            <w:tcW w:type="dxa" w:w="936"/>
            <w:tcMar>
              <w:top w:w="55" w:type="dxa"/>
              <w:start w:w="70" w:type="dxa"/>
              <w:bottom w:w="55" w:type="dxa"/>
              <w:end w:w="70" w:type="dxa"/>
            </w:tcMar>
            <w:vAlign w:val="top"/>
          </w:tcPr>
          <w:p>
            <w:pPr>
              <w:spacing w:after="10" w:line="240" w:lineRule="auto"/>
            </w:pPr>
            <w:r>
              <w:rPr>
                <w:rFonts w:ascii="Arial" w:hAnsi="Arial"/>
                <w:sz w:val="11"/>
              </w:rPr>
              <w:t>337</w:t>
            </w:r>
          </w:p>
        </w:tc>
        <w:tc>
          <w:tcPr>
            <w:tcW w:type="dxa" w:w="792"/>
            <w:tcMar>
              <w:top w:w="55" w:type="dxa"/>
              <w:start w:w="70" w:type="dxa"/>
              <w:bottom w:w="55" w:type="dxa"/>
              <w:end w:w="70" w:type="dxa"/>
            </w:tcMar>
            <w:vAlign w:val="top"/>
          </w:tcPr>
          <w:p>
            <w:pPr>
              <w:spacing w:after="10" w:line="240" w:lineRule="auto"/>
            </w:pPr>
            <w:r>
              <w:rPr>
                <w:rFonts w:ascii="Arial" w:hAnsi="Arial"/>
                <w:sz w:val="11"/>
              </w:rPr>
              <w:t>73.6</w:t>
            </w:r>
          </w:p>
        </w:tc>
      </w:tr>
      <w:tr>
        <w:trPr>
          <w:cantSplit/>
        </w:trPr>
        <w:tc>
          <w:tcPr>
            <w:tcW w:type="dxa" w:w="792"/>
            <w:shd w:fill="F7F7F7"/>
            <w:tcMar>
              <w:top w:w="55" w:type="dxa"/>
              <w:start w:w="70" w:type="dxa"/>
              <w:bottom w:w="55" w:type="dxa"/>
              <w:end w:w="70" w:type="dxa"/>
            </w:tcMar>
            <w:vAlign w:val="top"/>
          </w:tcPr>
          <w:p>
            <w:pPr>
              <w:spacing w:after="10" w:line="240" w:lineRule="auto"/>
            </w:pPr>
            <w:r>
              <w:rPr>
                <w:rFonts w:ascii="Arial" w:hAnsi="Arial"/>
                <w:b/>
                <w:sz w:val="11"/>
              </w:rPr>
              <w:t>FY18</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1,980</w:t>
            </w:r>
          </w:p>
        </w:tc>
        <w:tc>
          <w:tcPr>
            <w:tcW w:type="dxa" w:w="792"/>
            <w:shd w:fill="F7F7F7"/>
            <w:tcMar>
              <w:top w:w="55" w:type="dxa"/>
              <w:start w:w="70" w:type="dxa"/>
              <w:bottom w:w="55" w:type="dxa"/>
              <w:end w:w="70" w:type="dxa"/>
            </w:tcMar>
            <w:vAlign w:val="top"/>
          </w:tcPr>
          <w:p>
            <w:pPr>
              <w:spacing w:after="10" w:line="240" w:lineRule="auto"/>
            </w:pPr>
            <w:r>
              <w:rPr>
                <w:rFonts w:ascii="Arial" w:hAnsi="Arial"/>
                <w:sz w:val="11"/>
              </w:rPr>
              <w:t>-3.0%</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62.1%</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314</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414</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500</w:t>
            </w:r>
          </w:p>
        </w:tc>
        <w:tc>
          <w:tcPr>
            <w:tcW w:type="dxa" w:w="864"/>
            <w:shd w:fill="F7F7F7"/>
            <w:tcMar>
              <w:top w:w="55" w:type="dxa"/>
              <w:start w:w="70" w:type="dxa"/>
              <w:bottom w:w="55" w:type="dxa"/>
              <w:end w:w="70" w:type="dxa"/>
            </w:tcMar>
            <w:vAlign w:val="top"/>
          </w:tcPr>
          <w:p>
            <w:pPr>
              <w:spacing w:after="10" w:line="240" w:lineRule="auto"/>
            </w:pPr>
            <w:r>
              <w:rPr>
                <w:rFonts w:ascii="Arial" w:hAnsi="Arial"/>
                <w:sz w:val="11"/>
              </w:rPr>
              <w:t>25.3%</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114</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548</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548</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360</w:t>
            </w:r>
          </w:p>
        </w:tc>
        <w:tc>
          <w:tcPr>
            <w:tcW w:type="dxa" w:w="792"/>
            <w:shd w:fill="F7F7F7"/>
            <w:tcMar>
              <w:top w:w="55" w:type="dxa"/>
              <w:start w:w="70" w:type="dxa"/>
              <w:bottom w:w="55" w:type="dxa"/>
              <w:end w:w="70" w:type="dxa"/>
            </w:tcMar>
            <w:vAlign w:val="top"/>
          </w:tcPr>
          <w:p>
            <w:pPr>
              <w:spacing w:after="10" w:line="240" w:lineRule="auto"/>
            </w:pPr>
            <w:r>
              <w:rPr>
                <w:rFonts w:ascii="Arial" w:hAnsi="Arial"/>
                <w:sz w:val="11"/>
              </w:rPr>
              <w:t>78.7</w:t>
            </w:r>
          </w:p>
        </w:tc>
      </w:tr>
      <w:tr>
        <w:trPr>
          <w:cantSplit/>
        </w:trPr>
        <w:tc>
          <w:tcPr>
            <w:tcW w:type="dxa" w:w="792"/>
            <w:tcMar>
              <w:top w:w="55" w:type="dxa"/>
              <w:start w:w="70" w:type="dxa"/>
              <w:bottom w:w="55" w:type="dxa"/>
              <w:end w:w="70" w:type="dxa"/>
            </w:tcMar>
            <w:vAlign w:val="top"/>
          </w:tcPr>
          <w:p>
            <w:pPr>
              <w:spacing w:after="10" w:line="240" w:lineRule="auto"/>
            </w:pPr>
            <w:r>
              <w:rPr>
                <w:rFonts w:ascii="Arial" w:hAnsi="Arial"/>
                <w:b/>
                <w:sz w:val="11"/>
              </w:rPr>
              <w:t>FY19</w:t>
            </w:r>
          </w:p>
        </w:tc>
        <w:tc>
          <w:tcPr>
            <w:tcW w:type="dxa" w:w="1008"/>
            <w:tcMar>
              <w:top w:w="55" w:type="dxa"/>
              <w:start w:w="70" w:type="dxa"/>
              <w:bottom w:w="55" w:type="dxa"/>
              <w:end w:w="70" w:type="dxa"/>
            </w:tcMar>
            <w:vAlign w:val="top"/>
          </w:tcPr>
          <w:p>
            <w:pPr>
              <w:spacing w:after="10" w:line="240" w:lineRule="auto"/>
            </w:pPr>
            <w:r>
              <w:rPr>
                <w:rFonts w:ascii="Arial" w:hAnsi="Arial"/>
                <w:sz w:val="11"/>
              </w:rPr>
              <w:t>2,082</w:t>
            </w:r>
          </w:p>
        </w:tc>
        <w:tc>
          <w:tcPr>
            <w:tcW w:type="dxa" w:w="792"/>
            <w:tcMar>
              <w:top w:w="55" w:type="dxa"/>
              <w:start w:w="70" w:type="dxa"/>
              <w:bottom w:w="55" w:type="dxa"/>
              <w:end w:w="70" w:type="dxa"/>
            </w:tcMar>
            <w:vAlign w:val="top"/>
          </w:tcPr>
          <w:p>
            <w:pPr>
              <w:spacing w:after="10" w:line="240" w:lineRule="auto"/>
            </w:pPr>
            <w:r>
              <w:rPr>
                <w:rFonts w:ascii="Arial" w:hAnsi="Arial"/>
                <w:sz w:val="11"/>
              </w:rPr>
              <w:t>5.1%</w:t>
            </w:r>
          </w:p>
        </w:tc>
        <w:tc>
          <w:tcPr>
            <w:tcW w:type="dxa" w:w="1008"/>
            <w:tcMar>
              <w:top w:w="55" w:type="dxa"/>
              <w:start w:w="70" w:type="dxa"/>
              <w:bottom w:w="55" w:type="dxa"/>
              <w:end w:w="70" w:type="dxa"/>
            </w:tcMar>
            <w:vAlign w:val="top"/>
          </w:tcPr>
          <w:p>
            <w:pPr>
              <w:spacing w:after="10" w:line="240" w:lineRule="auto"/>
            </w:pPr>
            <w:r>
              <w:rPr>
                <w:rFonts w:ascii="Arial" w:hAnsi="Arial"/>
                <w:sz w:val="11"/>
              </w:rPr>
              <w:t>64.1%</w:t>
            </w:r>
          </w:p>
        </w:tc>
        <w:tc>
          <w:tcPr>
            <w:tcW w:type="dxa" w:w="936"/>
            <w:tcMar>
              <w:top w:w="55" w:type="dxa"/>
              <w:start w:w="70" w:type="dxa"/>
              <w:bottom w:w="55" w:type="dxa"/>
              <w:end w:w="70" w:type="dxa"/>
            </w:tcMar>
            <w:vAlign w:val="top"/>
          </w:tcPr>
          <w:p>
            <w:pPr>
              <w:spacing w:after="10" w:line="240" w:lineRule="auto"/>
            </w:pPr>
            <w:r>
              <w:rPr>
                <w:rFonts w:ascii="Arial" w:hAnsi="Arial"/>
                <w:sz w:val="11"/>
              </w:rPr>
              <w:t>324</w:t>
            </w:r>
          </w:p>
        </w:tc>
        <w:tc>
          <w:tcPr>
            <w:tcW w:type="dxa" w:w="936"/>
            <w:tcMar>
              <w:top w:w="55" w:type="dxa"/>
              <w:start w:w="70" w:type="dxa"/>
              <w:bottom w:w="55" w:type="dxa"/>
              <w:end w:w="70" w:type="dxa"/>
            </w:tcMar>
            <w:vAlign w:val="top"/>
          </w:tcPr>
          <w:p>
            <w:pPr>
              <w:spacing w:after="10" w:line="240" w:lineRule="auto"/>
            </w:pPr>
            <w:r>
              <w:rPr>
                <w:rFonts w:ascii="Arial" w:hAnsi="Arial"/>
                <w:sz w:val="11"/>
              </w:rPr>
              <w:t>445</w:t>
            </w:r>
          </w:p>
        </w:tc>
        <w:tc>
          <w:tcPr>
            <w:tcW w:type="dxa" w:w="1008"/>
            <w:tcMar>
              <w:top w:w="55" w:type="dxa"/>
              <w:start w:w="70" w:type="dxa"/>
              <w:bottom w:w="55" w:type="dxa"/>
              <w:end w:w="70" w:type="dxa"/>
            </w:tcMar>
            <w:vAlign w:val="top"/>
          </w:tcPr>
          <w:p>
            <w:pPr>
              <w:spacing w:after="10" w:line="240" w:lineRule="auto"/>
            </w:pPr>
            <w:r>
              <w:rPr>
                <w:rFonts w:ascii="Arial" w:hAnsi="Arial"/>
                <w:sz w:val="11"/>
              </w:rPr>
              <w:t>565</w:t>
            </w:r>
          </w:p>
        </w:tc>
        <w:tc>
          <w:tcPr>
            <w:tcW w:type="dxa" w:w="864"/>
            <w:tcMar>
              <w:top w:w="55" w:type="dxa"/>
              <w:start w:w="70" w:type="dxa"/>
              <w:bottom w:w="55" w:type="dxa"/>
              <w:end w:w="70" w:type="dxa"/>
            </w:tcMar>
            <w:vAlign w:val="top"/>
          </w:tcPr>
          <w:p>
            <w:pPr>
              <w:spacing w:after="10" w:line="240" w:lineRule="auto"/>
            </w:pPr>
            <w:r>
              <w:rPr>
                <w:rFonts w:ascii="Arial" w:hAnsi="Arial"/>
                <w:sz w:val="11"/>
              </w:rPr>
              <w:t>27.2%</w:t>
            </w:r>
          </w:p>
        </w:tc>
        <w:tc>
          <w:tcPr>
            <w:tcW w:type="dxa" w:w="936"/>
            <w:tcMar>
              <w:top w:w="55" w:type="dxa"/>
              <w:start w:w="70" w:type="dxa"/>
              <w:bottom w:w="55" w:type="dxa"/>
              <w:end w:w="70" w:type="dxa"/>
            </w:tcMar>
            <w:vAlign w:val="top"/>
          </w:tcPr>
          <w:p>
            <w:pPr>
              <w:spacing w:after="10" w:line="240" w:lineRule="auto"/>
            </w:pPr>
            <w:r>
              <w:rPr>
                <w:rFonts w:ascii="Arial" w:hAnsi="Arial"/>
                <w:sz w:val="11"/>
              </w:rPr>
              <w:t>167</w:t>
            </w:r>
          </w:p>
        </w:tc>
        <w:tc>
          <w:tcPr>
            <w:tcW w:type="dxa" w:w="936"/>
            <w:tcMar>
              <w:top w:w="55" w:type="dxa"/>
              <w:start w:w="70" w:type="dxa"/>
              <w:bottom w:w="55" w:type="dxa"/>
              <w:end w:w="70" w:type="dxa"/>
            </w:tcMar>
            <w:vAlign w:val="top"/>
          </w:tcPr>
          <w:p>
            <w:pPr>
              <w:spacing w:after="10" w:line="240" w:lineRule="auto"/>
            </w:pPr>
            <w:r>
              <w:rPr>
                <w:rFonts w:ascii="Arial" w:hAnsi="Arial"/>
                <w:sz w:val="11"/>
              </w:rPr>
              <w:t>660</w:t>
            </w:r>
          </w:p>
        </w:tc>
        <w:tc>
          <w:tcPr>
            <w:tcW w:type="dxa" w:w="1008"/>
            <w:tcMar>
              <w:top w:w="55" w:type="dxa"/>
              <w:start w:w="70" w:type="dxa"/>
              <w:bottom w:w="55" w:type="dxa"/>
              <w:end w:w="70" w:type="dxa"/>
            </w:tcMar>
            <w:vAlign w:val="top"/>
          </w:tcPr>
          <w:p>
            <w:pPr>
              <w:spacing w:after="10" w:line="240" w:lineRule="auto"/>
            </w:pPr>
            <w:r>
              <w:rPr>
                <w:rFonts w:ascii="Arial" w:hAnsi="Arial"/>
                <w:sz w:val="11"/>
              </w:rPr>
              <w:t>660</w:t>
            </w:r>
          </w:p>
        </w:tc>
        <w:tc>
          <w:tcPr>
            <w:tcW w:type="dxa" w:w="936"/>
            <w:tcMar>
              <w:top w:w="55" w:type="dxa"/>
              <w:start w:w="70" w:type="dxa"/>
              <w:bottom w:w="55" w:type="dxa"/>
              <w:end w:w="70" w:type="dxa"/>
            </w:tcMar>
            <w:vAlign w:val="top"/>
          </w:tcPr>
          <w:p>
            <w:pPr>
              <w:spacing w:after="10" w:line="240" w:lineRule="auto"/>
            </w:pPr>
            <w:r>
              <w:rPr>
                <w:rFonts w:ascii="Arial" w:hAnsi="Arial"/>
                <w:sz w:val="11"/>
              </w:rPr>
              <w:t>429</w:t>
            </w:r>
          </w:p>
        </w:tc>
        <w:tc>
          <w:tcPr>
            <w:tcW w:type="dxa" w:w="792"/>
            <w:tcMar>
              <w:top w:w="55" w:type="dxa"/>
              <w:start w:w="70" w:type="dxa"/>
              <w:bottom w:w="55" w:type="dxa"/>
              <w:end w:w="70" w:type="dxa"/>
            </w:tcMar>
            <w:vAlign w:val="top"/>
          </w:tcPr>
          <w:p>
            <w:pPr>
              <w:spacing w:after="10" w:line="240" w:lineRule="auto"/>
            </w:pPr>
            <w:r>
              <w:rPr>
                <w:rFonts w:ascii="Arial" w:hAnsi="Arial"/>
                <w:sz w:val="11"/>
              </w:rPr>
              <w:t>93.8</w:t>
            </w:r>
          </w:p>
        </w:tc>
      </w:tr>
      <w:tr>
        <w:trPr>
          <w:cantSplit/>
        </w:trPr>
        <w:tc>
          <w:tcPr>
            <w:tcW w:type="dxa" w:w="792"/>
            <w:shd w:fill="F7F7F7"/>
            <w:tcMar>
              <w:top w:w="55" w:type="dxa"/>
              <w:start w:w="70" w:type="dxa"/>
              <w:bottom w:w="55" w:type="dxa"/>
              <w:end w:w="70" w:type="dxa"/>
            </w:tcMar>
            <w:vAlign w:val="top"/>
          </w:tcPr>
          <w:p>
            <w:pPr>
              <w:spacing w:after="10" w:line="240" w:lineRule="auto"/>
            </w:pPr>
            <w:r>
              <w:rPr>
                <w:rFonts w:ascii="Arial" w:hAnsi="Arial"/>
                <w:b/>
                <w:sz w:val="11"/>
              </w:rPr>
              <w:t>FY20</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2,152</w:t>
            </w:r>
          </w:p>
        </w:tc>
        <w:tc>
          <w:tcPr>
            <w:tcW w:type="dxa" w:w="792"/>
            <w:shd w:fill="F7F7F7"/>
            <w:tcMar>
              <w:top w:w="55" w:type="dxa"/>
              <w:start w:w="70" w:type="dxa"/>
              <w:bottom w:w="55" w:type="dxa"/>
              <w:end w:w="70" w:type="dxa"/>
            </w:tcMar>
            <w:vAlign w:val="top"/>
          </w:tcPr>
          <w:p>
            <w:pPr>
              <w:spacing w:after="10" w:line="240" w:lineRule="auto"/>
            </w:pPr>
            <w:r>
              <w:rPr>
                <w:rFonts w:ascii="Arial" w:hAnsi="Arial"/>
                <w:sz w:val="11"/>
              </w:rPr>
              <w:t>3.4%</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63.2%</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365</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422</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573</w:t>
            </w:r>
          </w:p>
        </w:tc>
        <w:tc>
          <w:tcPr>
            <w:tcW w:type="dxa" w:w="864"/>
            <w:shd w:fill="F7F7F7"/>
            <w:tcMar>
              <w:top w:w="55" w:type="dxa"/>
              <w:start w:w="70" w:type="dxa"/>
              <w:bottom w:w="55" w:type="dxa"/>
              <w:end w:w="70" w:type="dxa"/>
            </w:tcMar>
            <w:vAlign w:val="top"/>
          </w:tcPr>
          <w:p>
            <w:pPr>
              <w:spacing w:after="10" w:line="240" w:lineRule="auto"/>
            </w:pPr>
            <w:r>
              <w:rPr>
                <w:rFonts w:ascii="Arial" w:hAnsi="Arial"/>
                <w:sz w:val="11"/>
              </w:rPr>
              <w:t>26.6%</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184</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642</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642</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509</w:t>
            </w:r>
          </w:p>
        </w:tc>
        <w:tc>
          <w:tcPr>
            <w:tcW w:type="dxa" w:w="792"/>
            <w:shd w:fill="F7F7F7"/>
            <w:tcMar>
              <w:top w:w="55" w:type="dxa"/>
              <w:start w:w="70" w:type="dxa"/>
              <w:bottom w:w="55" w:type="dxa"/>
              <w:end w:w="70" w:type="dxa"/>
            </w:tcMar>
            <w:vAlign w:val="top"/>
          </w:tcPr>
          <w:p>
            <w:pPr>
              <w:spacing w:after="10" w:line="240" w:lineRule="auto"/>
            </w:pPr>
            <w:r>
              <w:rPr>
                <w:rFonts w:ascii="Arial" w:hAnsi="Arial"/>
                <w:sz w:val="11"/>
              </w:rPr>
              <w:t>111.3</w:t>
            </w:r>
          </w:p>
        </w:tc>
      </w:tr>
      <w:tr>
        <w:trPr>
          <w:cantSplit/>
        </w:trPr>
        <w:tc>
          <w:tcPr>
            <w:tcW w:type="dxa" w:w="792"/>
            <w:tcMar>
              <w:top w:w="55" w:type="dxa"/>
              <w:start w:w="70" w:type="dxa"/>
              <w:bottom w:w="55" w:type="dxa"/>
              <w:end w:w="70" w:type="dxa"/>
            </w:tcMar>
            <w:vAlign w:val="top"/>
          </w:tcPr>
          <w:p>
            <w:pPr>
              <w:spacing w:after="10" w:line="240" w:lineRule="auto"/>
            </w:pPr>
            <w:r>
              <w:rPr>
                <w:rFonts w:ascii="Arial" w:hAnsi="Arial"/>
                <w:b/>
                <w:sz w:val="11"/>
              </w:rPr>
              <w:t>FY21</w:t>
            </w:r>
          </w:p>
        </w:tc>
        <w:tc>
          <w:tcPr>
            <w:tcW w:type="dxa" w:w="1008"/>
            <w:tcMar>
              <w:top w:w="55" w:type="dxa"/>
              <w:start w:w="70" w:type="dxa"/>
              <w:bottom w:w="55" w:type="dxa"/>
              <w:end w:w="70" w:type="dxa"/>
            </w:tcMar>
            <w:vAlign w:val="top"/>
          </w:tcPr>
          <w:p>
            <w:pPr>
              <w:spacing w:after="10" w:line="240" w:lineRule="auto"/>
            </w:pPr>
            <w:r>
              <w:rPr>
                <w:rFonts w:ascii="Arial" w:hAnsi="Arial"/>
                <w:sz w:val="11"/>
              </w:rPr>
              <w:t>2,239</w:t>
            </w:r>
          </w:p>
        </w:tc>
        <w:tc>
          <w:tcPr>
            <w:tcW w:type="dxa" w:w="792"/>
            <w:tcMar>
              <w:top w:w="55" w:type="dxa"/>
              <w:start w:w="70" w:type="dxa"/>
              <w:bottom w:w="55" w:type="dxa"/>
              <w:end w:w="70" w:type="dxa"/>
            </w:tcMar>
            <w:vAlign w:val="top"/>
          </w:tcPr>
          <w:p>
            <w:pPr>
              <w:spacing w:after="10" w:line="240" w:lineRule="auto"/>
            </w:pPr>
            <w:r>
              <w:rPr>
                <w:rFonts w:ascii="Arial" w:hAnsi="Arial"/>
                <w:sz w:val="11"/>
              </w:rPr>
              <w:t>4.0%</w:t>
            </w:r>
          </w:p>
        </w:tc>
        <w:tc>
          <w:tcPr>
            <w:tcW w:type="dxa" w:w="1008"/>
            <w:tcMar>
              <w:top w:w="55" w:type="dxa"/>
              <w:start w:w="70" w:type="dxa"/>
              <w:bottom w:w="55" w:type="dxa"/>
              <w:end w:w="70" w:type="dxa"/>
            </w:tcMar>
            <w:vAlign w:val="top"/>
          </w:tcPr>
          <w:p>
            <w:pPr>
              <w:spacing w:after="10" w:line="240" w:lineRule="auto"/>
            </w:pPr>
            <w:r>
              <w:rPr>
                <w:rFonts w:ascii="Arial" w:hAnsi="Arial"/>
                <w:sz w:val="11"/>
              </w:rPr>
              <w:t>64.4%</w:t>
            </w:r>
          </w:p>
        </w:tc>
        <w:tc>
          <w:tcPr>
            <w:tcW w:type="dxa" w:w="936"/>
            <w:tcMar>
              <w:top w:w="55" w:type="dxa"/>
              <w:start w:w="70" w:type="dxa"/>
              <w:bottom w:w="55" w:type="dxa"/>
              <w:end w:w="70" w:type="dxa"/>
            </w:tcMar>
            <w:vAlign w:val="top"/>
          </w:tcPr>
          <w:p>
            <w:pPr>
              <w:spacing w:after="10" w:line="240" w:lineRule="auto"/>
            </w:pPr>
            <w:r>
              <w:rPr>
                <w:rFonts w:ascii="Arial" w:hAnsi="Arial"/>
                <w:sz w:val="11"/>
              </w:rPr>
              <w:t>361</w:t>
            </w:r>
          </w:p>
        </w:tc>
        <w:tc>
          <w:tcPr>
            <w:tcW w:type="dxa" w:w="936"/>
            <w:tcMar>
              <w:top w:w="55" w:type="dxa"/>
              <w:start w:w="70" w:type="dxa"/>
              <w:bottom w:w="55" w:type="dxa"/>
              <w:end w:w="70" w:type="dxa"/>
            </w:tcMar>
            <w:vAlign w:val="top"/>
          </w:tcPr>
          <w:p>
            <w:pPr>
              <w:spacing w:after="10" w:line="240" w:lineRule="auto"/>
            </w:pPr>
            <w:r>
              <w:rPr>
                <w:rFonts w:ascii="Arial" w:hAnsi="Arial"/>
                <w:sz w:val="11"/>
              </w:rPr>
              <w:t>368</w:t>
            </w:r>
          </w:p>
        </w:tc>
        <w:tc>
          <w:tcPr>
            <w:tcW w:type="dxa" w:w="1008"/>
            <w:tcMar>
              <w:top w:w="55" w:type="dxa"/>
              <w:start w:w="70" w:type="dxa"/>
              <w:bottom w:w="55" w:type="dxa"/>
              <w:end w:w="70" w:type="dxa"/>
            </w:tcMar>
            <w:vAlign w:val="top"/>
          </w:tcPr>
          <w:p>
            <w:pPr>
              <w:spacing w:after="10" w:line="240" w:lineRule="auto"/>
            </w:pPr>
            <w:r>
              <w:rPr>
                <w:rFonts w:ascii="Arial" w:hAnsi="Arial"/>
                <w:sz w:val="11"/>
              </w:rPr>
              <w:t>712</w:t>
            </w:r>
          </w:p>
        </w:tc>
        <w:tc>
          <w:tcPr>
            <w:tcW w:type="dxa" w:w="864"/>
            <w:tcMar>
              <w:top w:w="55" w:type="dxa"/>
              <w:start w:w="70" w:type="dxa"/>
              <w:bottom w:w="55" w:type="dxa"/>
              <w:end w:w="70" w:type="dxa"/>
            </w:tcMar>
            <w:vAlign w:val="top"/>
          </w:tcPr>
          <w:p>
            <w:pPr>
              <w:spacing w:after="10" w:line="240" w:lineRule="auto"/>
            </w:pPr>
            <w:r>
              <w:rPr>
                <w:rFonts w:ascii="Arial" w:hAnsi="Arial"/>
                <w:sz w:val="11"/>
              </w:rPr>
              <w:t>31.8%</w:t>
            </w:r>
          </w:p>
        </w:tc>
        <w:tc>
          <w:tcPr>
            <w:tcW w:type="dxa" w:w="936"/>
            <w:tcMar>
              <w:top w:w="55" w:type="dxa"/>
              <w:start w:w="70" w:type="dxa"/>
              <w:bottom w:w="55" w:type="dxa"/>
              <w:end w:w="70" w:type="dxa"/>
            </w:tcMar>
            <w:vAlign w:val="top"/>
          </w:tcPr>
          <w:p>
            <w:pPr>
              <w:spacing w:after="10" w:line="240" w:lineRule="auto"/>
            </w:pPr>
            <w:r>
              <w:rPr>
                <w:rFonts w:ascii="Arial" w:hAnsi="Arial"/>
                <w:sz w:val="11"/>
              </w:rPr>
              <w:t>81</w:t>
            </w:r>
          </w:p>
        </w:tc>
        <w:tc>
          <w:tcPr>
            <w:tcW w:type="dxa" w:w="936"/>
            <w:tcMar>
              <w:top w:w="55" w:type="dxa"/>
              <w:start w:w="70" w:type="dxa"/>
              <w:bottom w:w="55" w:type="dxa"/>
              <w:end w:w="70" w:type="dxa"/>
            </w:tcMar>
            <w:vAlign w:val="top"/>
          </w:tcPr>
          <w:p>
            <w:pPr>
              <w:spacing w:after="10" w:line="240" w:lineRule="auto"/>
            </w:pPr>
            <w:r>
              <w:rPr>
                <w:rFonts w:ascii="Arial" w:hAnsi="Arial"/>
                <w:sz w:val="11"/>
              </w:rPr>
              <w:t>669</w:t>
            </w:r>
          </w:p>
        </w:tc>
        <w:tc>
          <w:tcPr>
            <w:tcW w:type="dxa" w:w="1008"/>
            <w:tcMar>
              <w:top w:w="55" w:type="dxa"/>
              <w:start w:w="70" w:type="dxa"/>
              <w:bottom w:w="55" w:type="dxa"/>
              <w:end w:w="70" w:type="dxa"/>
            </w:tcMar>
            <w:vAlign w:val="top"/>
          </w:tcPr>
          <w:p>
            <w:pPr>
              <w:spacing w:after="10" w:line="240" w:lineRule="auto"/>
            </w:pPr>
            <w:r>
              <w:rPr>
                <w:rFonts w:ascii="Arial" w:hAnsi="Arial"/>
                <w:sz w:val="11"/>
              </w:rPr>
              <w:t>669</w:t>
            </w:r>
          </w:p>
        </w:tc>
        <w:tc>
          <w:tcPr>
            <w:tcW w:type="dxa" w:w="936"/>
            <w:tcMar>
              <w:top w:w="55" w:type="dxa"/>
              <w:start w:w="70" w:type="dxa"/>
              <w:bottom w:w="55" w:type="dxa"/>
              <w:end w:w="70" w:type="dxa"/>
            </w:tcMar>
            <w:vAlign w:val="top"/>
          </w:tcPr>
          <w:p>
            <w:pPr>
              <w:spacing w:after="10" w:line="240" w:lineRule="auto"/>
            </w:pPr>
            <w:r>
              <w:rPr>
                <w:rFonts w:ascii="Arial" w:hAnsi="Arial"/>
                <w:sz w:val="11"/>
              </w:rPr>
              <w:t>498</w:t>
            </w:r>
          </w:p>
        </w:tc>
        <w:tc>
          <w:tcPr>
            <w:tcW w:type="dxa" w:w="792"/>
            <w:tcMar>
              <w:top w:w="55" w:type="dxa"/>
              <w:start w:w="70" w:type="dxa"/>
              <w:bottom w:w="55" w:type="dxa"/>
              <w:end w:w="70" w:type="dxa"/>
            </w:tcMar>
            <w:vAlign w:val="top"/>
          </w:tcPr>
          <w:p>
            <w:pPr>
              <w:spacing w:after="10" w:line="240" w:lineRule="auto"/>
            </w:pPr>
            <w:r>
              <w:rPr>
                <w:rFonts w:ascii="Arial" w:hAnsi="Arial"/>
                <w:sz w:val="11"/>
              </w:rPr>
              <w:t>108.8</w:t>
            </w:r>
          </w:p>
        </w:tc>
      </w:tr>
      <w:tr>
        <w:trPr>
          <w:cantSplit/>
        </w:trPr>
        <w:tc>
          <w:tcPr>
            <w:tcW w:type="dxa" w:w="792"/>
            <w:shd w:fill="F7F7F7"/>
            <w:tcMar>
              <w:top w:w="55" w:type="dxa"/>
              <w:start w:w="70" w:type="dxa"/>
              <w:bottom w:w="55" w:type="dxa"/>
              <w:end w:w="70" w:type="dxa"/>
            </w:tcMar>
            <w:vAlign w:val="top"/>
          </w:tcPr>
          <w:p>
            <w:pPr>
              <w:spacing w:after="10" w:line="240" w:lineRule="auto"/>
            </w:pPr>
            <w:r>
              <w:rPr>
                <w:rFonts w:ascii="Arial" w:hAnsi="Arial"/>
                <w:b/>
                <w:sz w:val="11"/>
              </w:rPr>
              <w:t>FY22</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2,611</w:t>
            </w:r>
          </w:p>
        </w:tc>
        <w:tc>
          <w:tcPr>
            <w:tcW w:type="dxa" w:w="792"/>
            <w:shd w:fill="F7F7F7"/>
            <w:tcMar>
              <w:top w:w="55" w:type="dxa"/>
              <w:start w:w="70" w:type="dxa"/>
              <w:bottom w:w="55" w:type="dxa"/>
              <w:end w:w="70" w:type="dxa"/>
            </w:tcMar>
            <w:vAlign w:val="top"/>
          </w:tcPr>
          <w:p>
            <w:pPr>
              <w:spacing w:after="10" w:line="240" w:lineRule="auto"/>
            </w:pPr>
            <w:r>
              <w:rPr>
                <w:rFonts w:ascii="Arial" w:hAnsi="Arial"/>
                <w:sz w:val="11"/>
              </w:rPr>
              <w:t>16.6%</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63.7%</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404</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424</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836</w:t>
            </w:r>
          </w:p>
        </w:tc>
        <w:tc>
          <w:tcPr>
            <w:tcW w:type="dxa" w:w="864"/>
            <w:shd w:fill="F7F7F7"/>
            <w:tcMar>
              <w:top w:w="55" w:type="dxa"/>
              <w:start w:w="70" w:type="dxa"/>
              <w:bottom w:w="55" w:type="dxa"/>
              <w:end w:w="70" w:type="dxa"/>
            </w:tcMar>
            <w:vAlign w:val="top"/>
          </w:tcPr>
          <w:p>
            <w:pPr>
              <w:spacing w:after="10" w:line="240" w:lineRule="auto"/>
            </w:pPr>
            <w:r>
              <w:rPr>
                <w:rFonts w:ascii="Arial" w:hAnsi="Arial"/>
                <w:sz w:val="11"/>
              </w:rPr>
              <w:t>32.0%</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63</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773</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773</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613</w:t>
            </w:r>
          </w:p>
        </w:tc>
        <w:tc>
          <w:tcPr>
            <w:tcW w:type="dxa" w:w="792"/>
            <w:shd w:fill="F7F7F7"/>
            <w:tcMar>
              <w:top w:w="55" w:type="dxa"/>
              <w:start w:w="70" w:type="dxa"/>
              <w:bottom w:w="55" w:type="dxa"/>
              <w:end w:w="70" w:type="dxa"/>
            </w:tcMar>
            <w:vAlign w:val="top"/>
          </w:tcPr>
          <w:p>
            <w:pPr>
              <w:spacing w:after="10" w:line="240" w:lineRule="auto"/>
            </w:pPr>
            <w:r>
              <w:rPr>
                <w:rFonts w:ascii="Arial" w:hAnsi="Arial"/>
                <w:sz w:val="11"/>
              </w:rPr>
              <w:t>133.9</w:t>
            </w:r>
          </w:p>
        </w:tc>
      </w:tr>
      <w:tr>
        <w:trPr>
          <w:cantSplit/>
        </w:trPr>
        <w:tc>
          <w:tcPr>
            <w:tcW w:type="dxa" w:w="792"/>
            <w:tcMar>
              <w:top w:w="55" w:type="dxa"/>
              <w:start w:w="70" w:type="dxa"/>
              <w:bottom w:w="55" w:type="dxa"/>
              <w:end w:w="70" w:type="dxa"/>
            </w:tcMar>
            <w:vAlign w:val="top"/>
          </w:tcPr>
          <w:p>
            <w:pPr>
              <w:spacing w:after="10" w:line="240" w:lineRule="auto"/>
            </w:pPr>
            <w:r>
              <w:rPr>
                <w:rFonts w:ascii="Arial" w:hAnsi="Arial"/>
                <w:b/>
                <w:sz w:val="11"/>
              </w:rPr>
              <w:t>FY23</w:t>
            </w:r>
          </w:p>
        </w:tc>
        <w:tc>
          <w:tcPr>
            <w:tcW w:type="dxa" w:w="1008"/>
            <w:tcMar>
              <w:top w:w="55" w:type="dxa"/>
              <w:start w:w="70" w:type="dxa"/>
              <w:bottom w:w="55" w:type="dxa"/>
              <w:end w:w="70" w:type="dxa"/>
            </w:tcMar>
            <w:vAlign w:val="top"/>
          </w:tcPr>
          <w:p>
            <w:pPr>
              <w:spacing w:after="10" w:line="240" w:lineRule="auto"/>
            </w:pPr>
            <w:r>
              <w:rPr>
                <w:rFonts w:ascii="Arial" w:hAnsi="Arial"/>
                <w:sz w:val="11"/>
              </w:rPr>
              <w:t>2,425</w:t>
            </w:r>
          </w:p>
        </w:tc>
        <w:tc>
          <w:tcPr>
            <w:tcW w:type="dxa" w:w="792"/>
            <w:tcMar>
              <w:top w:w="55" w:type="dxa"/>
              <w:start w:w="70" w:type="dxa"/>
              <w:bottom w:w="55" w:type="dxa"/>
              <w:end w:w="70" w:type="dxa"/>
            </w:tcMar>
            <w:vAlign w:val="top"/>
          </w:tcPr>
          <w:p>
            <w:pPr>
              <w:spacing w:after="10" w:line="240" w:lineRule="auto"/>
            </w:pPr>
            <w:r>
              <w:rPr>
                <w:rFonts w:ascii="Arial" w:hAnsi="Arial"/>
                <w:sz w:val="11"/>
              </w:rPr>
              <w:t>-7.1%</w:t>
            </w:r>
          </w:p>
        </w:tc>
        <w:tc>
          <w:tcPr>
            <w:tcW w:type="dxa" w:w="1008"/>
            <w:tcMar>
              <w:top w:w="55" w:type="dxa"/>
              <w:start w:w="70" w:type="dxa"/>
              <w:bottom w:w="55" w:type="dxa"/>
              <w:end w:w="70" w:type="dxa"/>
            </w:tcMar>
            <w:vAlign w:val="top"/>
          </w:tcPr>
          <w:p>
            <w:pPr>
              <w:spacing w:after="10" w:line="240" w:lineRule="auto"/>
            </w:pPr>
            <w:r>
              <w:rPr>
                <w:rFonts w:ascii="Arial" w:hAnsi="Arial"/>
                <w:sz w:val="11"/>
              </w:rPr>
              <w:t>64.0%</w:t>
            </w:r>
          </w:p>
        </w:tc>
        <w:tc>
          <w:tcPr>
            <w:tcW w:type="dxa" w:w="936"/>
            <w:tcMar>
              <w:top w:w="55" w:type="dxa"/>
              <w:start w:w="70" w:type="dxa"/>
              <w:bottom w:w="55" w:type="dxa"/>
              <w:end w:w="70" w:type="dxa"/>
            </w:tcMar>
            <w:vAlign w:val="top"/>
          </w:tcPr>
          <w:p>
            <w:pPr>
              <w:spacing w:after="10" w:line="240" w:lineRule="auto"/>
            </w:pPr>
            <w:r>
              <w:rPr>
                <w:rFonts w:ascii="Arial" w:hAnsi="Arial"/>
                <w:sz w:val="11"/>
              </w:rPr>
              <w:t>332</w:t>
            </w:r>
          </w:p>
        </w:tc>
        <w:tc>
          <w:tcPr>
            <w:tcW w:type="dxa" w:w="936"/>
            <w:tcMar>
              <w:top w:w="55" w:type="dxa"/>
              <w:start w:w="70" w:type="dxa"/>
              <w:bottom w:w="55" w:type="dxa"/>
              <w:end w:w="70" w:type="dxa"/>
            </w:tcMar>
            <w:vAlign w:val="top"/>
          </w:tcPr>
          <w:p>
            <w:pPr>
              <w:spacing w:after="10" w:line="240" w:lineRule="auto"/>
            </w:pPr>
            <w:r>
              <w:rPr>
                <w:rFonts w:ascii="Arial" w:hAnsi="Arial"/>
                <w:sz w:val="11"/>
              </w:rPr>
              <w:t>411</w:t>
            </w:r>
          </w:p>
        </w:tc>
        <w:tc>
          <w:tcPr>
            <w:tcW w:type="dxa" w:w="1008"/>
            <w:tcMar>
              <w:top w:w="55" w:type="dxa"/>
              <w:start w:w="70" w:type="dxa"/>
              <w:bottom w:w="55" w:type="dxa"/>
              <w:end w:w="70" w:type="dxa"/>
            </w:tcMar>
            <w:vAlign w:val="top"/>
          </w:tcPr>
          <w:p>
            <w:pPr>
              <w:spacing w:after="10" w:line="240" w:lineRule="auto"/>
            </w:pPr>
            <w:r>
              <w:rPr>
                <w:rFonts w:ascii="Arial" w:hAnsi="Arial"/>
                <w:sz w:val="11"/>
              </w:rPr>
              <w:t>809</w:t>
            </w:r>
          </w:p>
        </w:tc>
        <w:tc>
          <w:tcPr>
            <w:tcW w:type="dxa" w:w="864"/>
            <w:tcMar>
              <w:top w:w="55" w:type="dxa"/>
              <w:start w:w="70" w:type="dxa"/>
              <w:bottom w:w="55" w:type="dxa"/>
              <w:end w:w="70" w:type="dxa"/>
            </w:tcMar>
            <w:vAlign w:val="top"/>
          </w:tcPr>
          <w:p>
            <w:pPr>
              <w:spacing w:after="10" w:line="240" w:lineRule="auto"/>
            </w:pPr>
            <w:r>
              <w:rPr>
                <w:rFonts w:ascii="Arial" w:hAnsi="Arial"/>
                <w:sz w:val="11"/>
              </w:rPr>
              <w:t>33.4%</w:t>
            </w:r>
          </w:p>
        </w:tc>
        <w:tc>
          <w:tcPr>
            <w:tcW w:type="dxa" w:w="936"/>
            <w:tcMar>
              <w:top w:w="55" w:type="dxa"/>
              <w:start w:w="70" w:type="dxa"/>
              <w:bottom w:w="55" w:type="dxa"/>
              <w:end w:w="70" w:type="dxa"/>
            </w:tcMar>
            <w:vAlign w:val="top"/>
          </w:tcPr>
          <w:p>
            <w:pPr>
              <w:spacing w:after="10" w:line="240" w:lineRule="auto"/>
            </w:pPr>
            <w:r>
              <w:rPr>
                <w:rFonts w:ascii="Arial" w:hAnsi="Arial"/>
                <w:sz w:val="11"/>
              </w:rPr>
              <w:t>101</w:t>
            </w:r>
          </w:p>
        </w:tc>
        <w:tc>
          <w:tcPr>
            <w:tcW w:type="dxa" w:w="936"/>
            <w:tcMar>
              <w:top w:w="55" w:type="dxa"/>
              <w:start w:w="70" w:type="dxa"/>
              <w:bottom w:w="55" w:type="dxa"/>
              <w:end w:w="70" w:type="dxa"/>
            </w:tcMar>
            <w:vAlign w:val="top"/>
          </w:tcPr>
          <w:p>
            <w:pPr>
              <w:spacing w:after="10" w:line="240" w:lineRule="auto"/>
            </w:pPr>
            <w:r>
              <w:rPr>
                <w:rFonts w:ascii="Arial" w:hAnsi="Arial"/>
                <w:sz w:val="11"/>
              </w:rPr>
              <w:t>791</w:t>
            </w:r>
          </w:p>
        </w:tc>
        <w:tc>
          <w:tcPr>
            <w:tcW w:type="dxa" w:w="1008"/>
            <w:tcMar>
              <w:top w:w="55" w:type="dxa"/>
              <w:start w:w="70" w:type="dxa"/>
              <w:bottom w:w="55" w:type="dxa"/>
              <w:end w:w="70" w:type="dxa"/>
            </w:tcMar>
            <w:vAlign w:val="top"/>
          </w:tcPr>
          <w:p>
            <w:pPr>
              <w:spacing w:after="10" w:line="240" w:lineRule="auto"/>
            </w:pPr>
            <w:r>
              <w:rPr>
                <w:rFonts w:ascii="Arial" w:hAnsi="Arial"/>
                <w:sz w:val="11"/>
              </w:rPr>
              <w:t>824</w:t>
            </w:r>
          </w:p>
        </w:tc>
        <w:tc>
          <w:tcPr>
            <w:tcW w:type="dxa" w:w="936"/>
            <w:tcMar>
              <w:top w:w="55" w:type="dxa"/>
              <w:start w:w="70" w:type="dxa"/>
              <w:bottom w:w="55" w:type="dxa"/>
              <w:end w:w="70" w:type="dxa"/>
            </w:tcMar>
            <w:vAlign w:val="top"/>
          </w:tcPr>
          <w:p>
            <w:pPr>
              <w:spacing w:after="10" w:line="240" w:lineRule="auto"/>
            </w:pPr>
            <w:r>
              <w:rPr>
                <w:rFonts w:ascii="Arial" w:hAnsi="Arial"/>
                <w:sz w:val="11"/>
              </w:rPr>
              <w:t>624</w:t>
            </w:r>
          </w:p>
        </w:tc>
        <w:tc>
          <w:tcPr>
            <w:tcW w:type="dxa" w:w="792"/>
            <w:tcMar>
              <w:top w:w="55" w:type="dxa"/>
              <w:start w:w="70" w:type="dxa"/>
              <w:bottom w:w="55" w:type="dxa"/>
              <w:end w:w="70" w:type="dxa"/>
            </w:tcMar>
            <w:vAlign w:val="top"/>
          </w:tcPr>
          <w:p>
            <w:pPr>
              <w:spacing w:after="10" w:line="240" w:lineRule="auto"/>
            </w:pPr>
            <w:r>
              <w:rPr>
                <w:rFonts w:ascii="Arial" w:hAnsi="Arial"/>
                <w:sz w:val="11"/>
              </w:rPr>
              <w:t>136.4</w:t>
            </w:r>
          </w:p>
        </w:tc>
      </w:tr>
      <w:tr>
        <w:trPr>
          <w:cantSplit/>
        </w:trPr>
        <w:tc>
          <w:tcPr>
            <w:tcW w:type="dxa" w:w="792"/>
            <w:shd w:fill="F7F7F7"/>
            <w:tcMar>
              <w:top w:w="55" w:type="dxa"/>
              <w:start w:w="70" w:type="dxa"/>
              <w:bottom w:w="55" w:type="dxa"/>
              <w:end w:w="70" w:type="dxa"/>
            </w:tcMar>
            <w:vAlign w:val="top"/>
          </w:tcPr>
          <w:p>
            <w:pPr>
              <w:spacing w:after="10" w:line="240" w:lineRule="auto"/>
            </w:pPr>
            <w:r>
              <w:rPr>
                <w:rFonts w:ascii="Arial" w:hAnsi="Arial"/>
                <w:b/>
                <w:sz w:val="11"/>
              </w:rPr>
              <w:t>FY24</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2,193</w:t>
            </w:r>
          </w:p>
        </w:tc>
        <w:tc>
          <w:tcPr>
            <w:tcW w:type="dxa" w:w="792"/>
            <w:shd w:fill="F7F7F7"/>
            <w:tcMar>
              <w:top w:w="55" w:type="dxa"/>
              <w:start w:w="70" w:type="dxa"/>
              <w:bottom w:w="55" w:type="dxa"/>
              <w:end w:w="70" w:type="dxa"/>
            </w:tcMar>
            <w:vAlign w:val="top"/>
          </w:tcPr>
          <w:p>
            <w:pPr>
              <w:spacing w:after="10" w:line="240" w:lineRule="auto"/>
            </w:pPr>
            <w:r>
              <w:rPr>
                <w:rFonts w:ascii="Arial" w:hAnsi="Arial"/>
                <w:sz w:val="11"/>
              </w:rPr>
              <w:t>-9.6%</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63.9%</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348</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418</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635</w:t>
            </w:r>
          </w:p>
        </w:tc>
        <w:tc>
          <w:tcPr>
            <w:tcW w:type="dxa" w:w="864"/>
            <w:shd w:fill="F7F7F7"/>
            <w:tcMar>
              <w:top w:w="55" w:type="dxa"/>
              <w:start w:w="70" w:type="dxa"/>
              <w:bottom w:w="55" w:type="dxa"/>
              <w:end w:w="70" w:type="dxa"/>
            </w:tcMar>
            <w:vAlign w:val="top"/>
          </w:tcPr>
          <w:p>
            <w:pPr>
              <w:spacing w:after="10" w:line="240" w:lineRule="auto"/>
            </w:pPr>
            <w:r>
              <w:rPr>
                <w:rFonts w:ascii="Arial" w:hAnsi="Arial"/>
                <w:sz w:val="11"/>
              </w:rPr>
              <w:t>29.0%</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181</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738</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746</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551</w:t>
            </w:r>
          </w:p>
        </w:tc>
        <w:tc>
          <w:tcPr>
            <w:tcW w:type="dxa" w:w="792"/>
            <w:shd w:fill="F7F7F7"/>
            <w:tcMar>
              <w:top w:w="55" w:type="dxa"/>
              <w:start w:w="70" w:type="dxa"/>
              <w:bottom w:w="55" w:type="dxa"/>
              <w:end w:w="70" w:type="dxa"/>
            </w:tcMar>
            <w:vAlign w:val="top"/>
          </w:tcPr>
          <w:p>
            <w:pPr>
              <w:spacing w:after="10" w:line="240" w:lineRule="auto"/>
            </w:pPr>
            <w:r>
              <w:rPr>
                <w:rFonts w:ascii="Arial" w:hAnsi="Arial"/>
                <w:sz w:val="11"/>
              </w:rPr>
              <w:t>120.5</w:t>
            </w:r>
          </w:p>
        </w:tc>
      </w:tr>
      <w:tr>
        <w:trPr>
          <w:cantSplit/>
        </w:trPr>
        <w:tc>
          <w:tcPr>
            <w:tcW w:type="dxa" w:w="792"/>
            <w:tcMar>
              <w:top w:w="55" w:type="dxa"/>
              <w:start w:w="70" w:type="dxa"/>
              <w:bottom w:w="55" w:type="dxa"/>
              <w:end w:w="70" w:type="dxa"/>
            </w:tcMar>
            <w:vAlign w:val="top"/>
          </w:tcPr>
          <w:p>
            <w:pPr>
              <w:spacing w:after="10" w:line="240" w:lineRule="auto"/>
            </w:pPr>
            <w:r>
              <w:rPr>
                <w:rFonts w:ascii="Arial" w:hAnsi="Arial"/>
                <w:b/>
                <w:sz w:val="11"/>
              </w:rPr>
              <w:t>FY25</w:t>
            </w:r>
          </w:p>
        </w:tc>
        <w:tc>
          <w:tcPr>
            <w:tcW w:type="dxa" w:w="1008"/>
            <w:tcMar>
              <w:top w:w="55" w:type="dxa"/>
              <w:start w:w="70" w:type="dxa"/>
              <w:bottom w:w="55" w:type="dxa"/>
              <w:end w:w="70" w:type="dxa"/>
            </w:tcMar>
            <w:vAlign w:val="top"/>
          </w:tcPr>
          <w:p>
            <w:pPr>
              <w:spacing w:after="10" w:line="240" w:lineRule="auto"/>
            </w:pPr>
            <w:r>
              <w:rPr>
                <w:rFonts w:ascii="Arial" w:hAnsi="Arial"/>
                <w:sz w:val="11"/>
              </w:rPr>
              <w:t>2,281</w:t>
            </w:r>
          </w:p>
        </w:tc>
        <w:tc>
          <w:tcPr>
            <w:tcW w:type="dxa" w:w="792"/>
            <w:tcMar>
              <w:top w:w="55" w:type="dxa"/>
              <w:start w:w="70" w:type="dxa"/>
              <w:bottom w:w="55" w:type="dxa"/>
              <w:end w:w="70" w:type="dxa"/>
            </w:tcMar>
            <w:vAlign w:val="top"/>
          </w:tcPr>
          <w:p>
            <w:pPr>
              <w:spacing w:after="10" w:line="240" w:lineRule="auto"/>
            </w:pPr>
            <w:r>
              <w:rPr>
                <w:rFonts w:ascii="Arial" w:hAnsi="Arial"/>
                <w:sz w:val="11"/>
              </w:rPr>
              <w:t>4.0%</w:t>
            </w:r>
          </w:p>
        </w:tc>
        <w:tc>
          <w:tcPr>
            <w:tcW w:type="dxa" w:w="1008"/>
            <w:tcMar>
              <w:top w:w="55" w:type="dxa"/>
              <w:start w:w="70" w:type="dxa"/>
              <w:bottom w:w="55" w:type="dxa"/>
              <w:end w:w="70" w:type="dxa"/>
            </w:tcMar>
            <w:vAlign w:val="top"/>
          </w:tcPr>
          <w:p>
            <w:pPr>
              <w:spacing w:after="10" w:line="240" w:lineRule="auto"/>
            </w:pPr>
            <w:r>
              <w:rPr>
                <w:rFonts w:ascii="Arial" w:hAnsi="Arial"/>
                <w:sz w:val="11"/>
              </w:rPr>
              <w:t>64.5%</w:t>
            </w:r>
          </w:p>
        </w:tc>
        <w:tc>
          <w:tcPr>
            <w:tcW w:type="dxa" w:w="936"/>
            <w:tcMar>
              <w:top w:w="55" w:type="dxa"/>
              <w:start w:w="70" w:type="dxa"/>
              <w:bottom w:w="55" w:type="dxa"/>
              <w:end w:w="70" w:type="dxa"/>
            </w:tcMar>
            <w:vAlign w:val="top"/>
          </w:tcPr>
          <w:p>
            <w:pPr>
              <w:spacing w:after="10" w:line="240" w:lineRule="auto"/>
            </w:pPr>
            <w:r>
              <w:rPr>
                <w:rFonts w:ascii="Arial" w:hAnsi="Arial"/>
                <w:sz w:val="11"/>
              </w:rPr>
              <w:t>371</w:t>
            </w:r>
          </w:p>
        </w:tc>
        <w:tc>
          <w:tcPr>
            <w:tcW w:type="dxa" w:w="936"/>
            <w:tcMar>
              <w:top w:w="55" w:type="dxa"/>
              <w:start w:w="70" w:type="dxa"/>
              <w:bottom w:w="55" w:type="dxa"/>
              <w:end w:w="70" w:type="dxa"/>
            </w:tcMar>
            <w:vAlign w:val="top"/>
          </w:tcPr>
          <w:p>
            <w:pPr>
              <w:spacing w:after="10" w:line="240" w:lineRule="auto"/>
            </w:pPr>
            <w:r>
              <w:rPr>
                <w:rFonts w:ascii="Arial" w:hAnsi="Arial"/>
                <w:sz w:val="11"/>
              </w:rPr>
              <w:t>359</w:t>
            </w:r>
          </w:p>
        </w:tc>
        <w:tc>
          <w:tcPr>
            <w:tcW w:type="dxa" w:w="1008"/>
            <w:tcMar>
              <w:top w:w="55" w:type="dxa"/>
              <w:start w:w="70" w:type="dxa"/>
              <w:bottom w:w="55" w:type="dxa"/>
              <w:end w:w="70" w:type="dxa"/>
            </w:tcMar>
            <w:vAlign w:val="top"/>
          </w:tcPr>
          <w:p>
            <w:pPr>
              <w:spacing w:after="10" w:line="240" w:lineRule="auto"/>
            </w:pPr>
            <w:r>
              <w:rPr>
                <w:rFonts w:ascii="Arial" w:hAnsi="Arial"/>
                <w:sz w:val="11"/>
              </w:rPr>
              <w:t>740</w:t>
            </w:r>
          </w:p>
        </w:tc>
        <w:tc>
          <w:tcPr>
            <w:tcW w:type="dxa" w:w="864"/>
            <w:tcMar>
              <w:top w:w="55" w:type="dxa"/>
              <w:start w:w="70" w:type="dxa"/>
              <w:bottom w:w="55" w:type="dxa"/>
              <w:end w:w="70" w:type="dxa"/>
            </w:tcMar>
            <w:vAlign w:val="top"/>
          </w:tcPr>
          <w:p>
            <w:pPr>
              <w:spacing w:after="10" w:line="240" w:lineRule="auto"/>
            </w:pPr>
            <w:r>
              <w:rPr>
                <w:rFonts w:ascii="Arial" w:hAnsi="Arial"/>
                <w:sz w:val="11"/>
              </w:rPr>
              <w:t>32.4%</w:t>
            </w:r>
          </w:p>
        </w:tc>
        <w:tc>
          <w:tcPr>
            <w:tcW w:type="dxa" w:w="936"/>
            <w:tcMar>
              <w:top w:w="55" w:type="dxa"/>
              <w:start w:w="70" w:type="dxa"/>
              <w:bottom w:w="55" w:type="dxa"/>
              <w:end w:w="70" w:type="dxa"/>
            </w:tcMar>
            <w:vAlign w:val="top"/>
          </w:tcPr>
          <w:p>
            <w:pPr>
              <w:spacing w:after="10" w:line="240" w:lineRule="auto"/>
            </w:pPr>
            <w:r>
              <w:rPr>
                <w:rFonts w:ascii="Arial" w:hAnsi="Arial"/>
                <w:sz w:val="11"/>
              </w:rPr>
              <w:t>172</w:t>
            </w:r>
          </w:p>
        </w:tc>
        <w:tc>
          <w:tcPr>
            <w:tcW w:type="dxa" w:w="936"/>
            <w:tcMar>
              <w:top w:w="55" w:type="dxa"/>
              <w:start w:w="70" w:type="dxa"/>
              <w:bottom w:w="55" w:type="dxa"/>
              <w:end w:w="70" w:type="dxa"/>
            </w:tcMar>
            <w:vAlign w:val="top"/>
          </w:tcPr>
          <w:p>
            <w:pPr>
              <w:spacing w:after="10" w:line="240" w:lineRule="auto"/>
            </w:pPr>
            <w:r>
              <w:rPr>
                <w:rFonts w:ascii="Arial" w:hAnsi="Arial"/>
                <w:sz w:val="11"/>
              </w:rPr>
              <w:t>843</w:t>
            </w:r>
          </w:p>
        </w:tc>
        <w:tc>
          <w:tcPr>
            <w:tcW w:type="dxa" w:w="1008"/>
            <w:tcMar>
              <w:top w:w="55" w:type="dxa"/>
              <w:start w:w="70" w:type="dxa"/>
              <w:bottom w:w="55" w:type="dxa"/>
              <w:end w:w="70" w:type="dxa"/>
            </w:tcMar>
            <w:vAlign w:val="top"/>
          </w:tcPr>
          <w:p>
            <w:pPr>
              <w:spacing w:after="10" w:line="240" w:lineRule="auto"/>
            </w:pPr>
            <w:r>
              <w:rPr>
                <w:rFonts w:ascii="Arial" w:hAnsi="Arial"/>
                <w:sz w:val="11"/>
              </w:rPr>
              <w:t>1,016</w:t>
            </w:r>
          </w:p>
        </w:tc>
        <w:tc>
          <w:tcPr>
            <w:tcW w:type="dxa" w:w="936"/>
            <w:tcMar>
              <w:top w:w="55" w:type="dxa"/>
              <w:start w:w="70" w:type="dxa"/>
              <w:bottom w:w="55" w:type="dxa"/>
              <w:end w:w="70" w:type="dxa"/>
            </w:tcMar>
            <w:vAlign w:val="top"/>
          </w:tcPr>
          <w:p>
            <w:pPr>
              <w:spacing w:after="10" w:line="240" w:lineRule="auto"/>
            </w:pPr>
            <w:r>
              <w:rPr>
                <w:rFonts w:ascii="Arial" w:hAnsi="Arial"/>
                <w:sz w:val="11"/>
              </w:rPr>
              <w:t>768</w:t>
            </w:r>
          </w:p>
        </w:tc>
        <w:tc>
          <w:tcPr>
            <w:tcW w:type="dxa" w:w="792"/>
            <w:tcMar>
              <w:top w:w="55" w:type="dxa"/>
              <w:start w:w="70" w:type="dxa"/>
              <w:bottom w:w="55" w:type="dxa"/>
              <w:end w:w="70" w:type="dxa"/>
            </w:tcMar>
            <w:vAlign w:val="top"/>
          </w:tcPr>
          <w:p>
            <w:pPr>
              <w:spacing w:after="10" w:line="240" w:lineRule="auto"/>
            </w:pPr>
            <w:r>
              <w:rPr>
                <w:rFonts w:ascii="Arial" w:hAnsi="Arial"/>
                <w:sz w:val="11"/>
              </w:rPr>
              <w:t>167.8</w:t>
            </w:r>
          </w:p>
        </w:tc>
      </w:tr>
      <w:tr>
        <w:trPr>
          <w:cantSplit/>
        </w:trPr>
        <w:tc>
          <w:tcPr>
            <w:tcW w:type="dxa" w:w="792"/>
            <w:shd w:fill="F7F7F7"/>
            <w:tcMar>
              <w:top w:w="55" w:type="dxa"/>
              <w:start w:w="70" w:type="dxa"/>
              <w:bottom w:w="55" w:type="dxa"/>
              <w:end w:w="70" w:type="dxa"/>
            </w:tcMar>
            <w:vAlign w:val="top"/>
          </w:tcPr>
          <w:p>
            <w:pPr>
              <w:spacing w:after="10" w:line="240" w:lineRule="auto"/>
            </w:pPr>
            <w:r>
              <w:rPr>
                <w:rFonts w:ascii="Arial" w:hAnsi="Arial"/>
                <w:b/>
                <w:sz w:val="11"/>
              </w:rPr>
              <w:t>FY26</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2,520</w:t>
            </w:r>
          </w:p>
        </w:tc>
        <w:tc>
          <w:tcPr>
            <w:tcW w:type="dxa" w:w="792"/>
            <w:shd w:fill="F7F7F7"/>
            <w:tcMar>
              <w:top w:w="55" w:type="dxa"/>
              <w:start w:w="70" w:type="dxa"/>
              <w:bottom w:w="55" w:type="dxa"/>
              <w:end w:w="70" w:type="dxa"/>
            </w:tcMar>
            <w:vAlign w:val="top"/>
          </w:tcPr>
          <w:p>
            <w:pPr>
              <w:spacing w:after="10" w:line="240" w:lineRule="auto"/>
            </w:pPr>
            <w:r>
              <w:rPr>
                <w:rFonts w:ascii="Arial" w:hAnsi="Arial"/>
                <w:sz w:val="11"/>
              </w:rPr>
              <w:t>10.4%</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64.9%</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368</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363</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904</w:t>
            </w:r>
          </w:p>
        </w:tc>
        <w:tc>
          <w:tcPr>
            <w:tcW w:type="dxa" w:w="864"/>
            <w:shd w:fill="F7F7F7"/>
            <w:tcMar>
              <w:top w:w="55" w:type="dxa"/>
              <w:start w:w="70" w:type="dxa"/>
              <w:bottom w:w="55" w:type="dxa"/>
              <w:end w:w="70" w:type="dxa"/>
            </w:tcMar>
            <w:vAlign w:val="top"/>
          </w:tcPr>
          <w:p>
            <w:pPr>
              <w:spacing w:after="10" w:line="240" w:lineRule="auto"/>
            </w:pPr>
            <w:r>
              <w:rPr>
                <w:rFonts w:ascii="Arial" w:hAnsi="Arial"/>
                <w:sz w:val="11"/>
              </w:rPr>
              <w:t>35.9%</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188</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1,025</w:t>
            </w:r>
          </w:p>
        </w:tc>
        <w:tc>
          <w:tcPr>
            <w:tcW w:type="dxa" w:w="1008"/>
            <w:shd w:fill="F7F7F7"/>
            <w:tcMar>
              <w:top w:w="55" w:type="dxa"/>
              <w:start w:w="70" w:type="dxa"/>
              <w:bottom w:w="55" w:type="dxa"/>
              <w:end w:w="70" w:type="dxa"/>
            </w:tcMar>
            <w:vAlign w:val="top"/>
          </w:tcPr>
          <w:p>
            <w:pPr>
              <w:spacing w:after="10" w:line="240" w:lineRule="auto"/>
            </w:pPr>
            <w:r>
              <w:rPr>
                <w:rFonts w:ascii="Arial" w:hAnsi="Arial"/>
                <w:sz w:val="11"/>
              </w:rPr>
              <w:t>976</w:t>
            </w:r>
          </w:p>
        </w:tc>
        <w:tc>
          <w:tcPr>
            <w:tcW w:type="dxa" w:w="936"/>
            <w:shd w:fill="F7F7F7"/>
            <w:tcMar>
              <w:top w:w="55" w:type="dxa"/>
              <w:start w:w="70" w:type="dxa"/>
              <w:bottom w:w="55" w:type="dxa"/>
              <w:end w:w="70" w:type="dxa"/>
            </w:tcMar>
            <w:vAlign w:val="top"/>
          </w:tcPr>
          <w:p>
            <w:pPr>
              <w:spacing w:after="10" w:line="240" w:lineRule="auto"/>
            </w:pPr>
            <w:r>
              <w:rPr>
                <w:rFonts w:ascii="Arial" w:hAnsi="Arial"/>
                <w:sz w:val="11"/>
              </w:rPr>
              <w:t>722</w:t>
            </w:r>
          </w:p>
        </w:tc>
        <w:tc>
          <w:tcPr>
            <w:tcW w:type="dxa" w:w="792"/>
            <w:shd w:fill="F7F7F7"/>
            <w:tcMar>
              <w:top w:w="55" w:type="dxa"/>
              <w:start w:w="70" w:type="dxa"/>
              <w:bottom w:w="55" w:type="dxa"/>
              <w:end w:w="70" w:type="dxa"/>
            </w:tcMar>
            <w:vAlign w:val="top"/>
          </w:tcPr>
          <w:p>
            <w:pPr>
              <w:spacing w:after="10" w:line="240" w:lineRule="auto"/>
            </w:pPr>
            <w:r>
              <w:rPr>
                <w:rFonts w:ascii="Arial" w:hAnsi="Arial"/>
                <w:sz w:val="11"/>
              </w:rPr>
              <w:t>157.9</w:t>
            </w:r>
          </w:p>
        </w:tc>
      </w:tr>
    </w:tbl>
    <w:p>
      <w:pPr>
        <w:pStyle w:val="ExhibitTitle"/>
      </w:pPr>
      <w:r>
        <w:t>Exhibit 10. Revenue compounded only 2.4%, but operating EBITDA margin more than doubled</w:t>
      </w:r>
    </w:p>
    <w:p>
      <w:r>
        <w:rPr>
          <w:color w:val="59636E"/>
          <w:sz w:val="15"/>
        </w:rPr>
        <w:t>Mix, affiliate services, portfolio pruning and lower other operating expense lifted calculated operating EBITDA margin from 17.1% in FY17 to 35.9% in FY26.</w:t>
      </w:r>
    </w:p>
    <w:p>
      <w:pPr>
        <w:pStyle w:val="Source"/>
      </w:pPr>
      <w:r>
        <w:t>Source: Pfizer annual reports FY17-FY26 [S3]. Operating EBITDA and gross margin are Bernstein calculations from reported line items. ₹ crore except EPS and percentages.</w:t>
      </w:r>
    </w:p>
    <w:p>
      <w:r>
        <w:drawing>
          <wp:inline xmlns:a="http://schemas.openxmlformats.org/drawingml/2006/main" xmlns:pic="http://schemas.openxmlformats.org/drawingml/2006/picture">
            <wp:extent cx="6355080" cy="2567935"/>
            <wp:docPr id="1" name="Picture 1"/>
            <wp:cNvGraphicFramePr>
              <a:graphicFrameLocks noChangeAspect="1"/>
            </wp:cNvGraphicFramePr>
            <a:graphic>
              <a:graphicData uri="http://schemas.openxmlformats.org/drawingml/2006/picture">
                <pic:pic>
                  <pic:nvPicPr>
                    <pic:cNvPr id="0" name="revenue_margin.png"/>
                    <pic:cNvPicPr/>
                  </pic:nvPicPr>
                  <pic:blipFill>
                    <a:blip r:embed="rId11"/>
                    <a:stretch>
                      <a:fillRect/>
                    </a:stretch>
                  </pic:blipFill>
                  <pic:spPr>
                    <a:xfrm>
                      <a:off x="0" y="0"/>
                      <a:ext cx="6355080" cy="2567935"/>
                    </a:xfrm>
                    <a:prstGeom prst="rect"/>
                  </pic:spPr>
                </pic:pic>
              </a:graphicData>
            </a:graphic>
          </wp:inline>
        </w:drawing>
      </w:r>
    </w:p>
    <w:p>
      <w:pPr>
        <w:pStyle w:val="Source"/>
      </w:pPr>
      <w:r>
        <w:t>Source: Pfizer annual reports FY17-FY26 [S3]; Bernstein calculations.</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296"/>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Year</w:t>
            </w:r>
          </w:p>
        </w:tc>
        <w:tc>
          <w:tcPr>
            <w:tcW w:type="dxa" w:w="1872"/>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Operating cash flow</w:t>
            </w:r>
          </w:p>
        </w:tc>
        <w:tc>
          <w:tcPr>
            <w:tcW w:type="dxa" w:w="1440"/>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Capex</w:t>
            </w:r>
          </w:p>
        </w:tc>
        <w:tc>
          <w:tcPr>
            <w:tcW w:type="dxa" w:w="1728"/>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Free cash flow</w:t>
            </w:r>
          </w:p>
        </w:tc>
        <w:tc>
          <w:tcPr>
            <w:tcW w:type="dxa" w:w="1728"/>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Dividend paid</w:t>
            </w:r>
          </w:p>
        </w:tc>
        <w:tc>
          <w:tcPr>
            <w:tcW w:type="dxa" w:w="1440"/>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OCF / PAT</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4"/>
              </w:rPr>
              <w:t>FY17</w:t>
            </w:r>
          </w:p>
        </w:tc>
        <w:tc>
          <w:tcPr>
            <w:tcW w:type="dxa" w:w="1872"/>
            <w:tcMar>
              <w:top w:w="55" w:type="dxa"/>
              <w:start w:w="70" w:type="dxa"/>
              <w:bottom w:w="55" w:type="dxa"/>
              <w:end w:w="70" w:type="dxa"/>
            </w:tcMar>
            <w:vAlign w:val="top"/>
          </w:tcPr>
          <w:p>
            <w:pPr>
              <w:spacing w:after="10" w:line="240" w:lineRule="auto"/>
            </w:pPr>
            <w:r>
              <w:rPr>
                <w:rFonts w:ascii="Arial" w:hAnsi="Arial"/>
                <w:sz w:val="14"/>
              </w:rPr>
              <w:t>329</w:t>
            </w:r>
          </w:p>
        </w:tc>
        <w:tc>
          <w:tcPr>
            <w:tcW w:type="dxa" w:w="1440"/>
            <w:tcMar>
              <w:top w:w="55" w:type="dxa"/>
              <w:start w:w="70" w:type="dxa"/>
              <w:bottom w:w="55" w:type="dxa"/>
              <w:end w:w="70" w:type="dxa"/>
            </w:tcMar>
            <w:vAlign w:val="top"/>
          </w:tcPr>
          <w:p>
            <w:pPr>
              <w:spacing w:after="10" w:line="240" w:lineRule="auto"/>
            </w:pPr>
            <w:r>
              <w:rPr>
                <w:rFonts w:ascii="Arial" w:hAnsi="Arial"/>
                <w:sz w:val="14"/>
              </w:rPr>
              <w:t>25</w:t>
            </w:r>
          </w:p>
        </w:tc>
        <w:tc>
          <w:tcPr>
            <w:tcW w:type="dxa" w:w="1728"/>
            <w:tcMar>
              <w:top w:w="55" w:type="dxa"/>
              <w:start w:w="70" w:type="dxa"/>
              <w:bottom w:w="55" w:type="dxa"/>
              <w:end w:w="70" w:type="dxa"/>
            </w:tcMar>
            <w:vAlign w:val="top"/>
          </w:tcPr>
          <w:p>
            <w:pPr>
              <w:spacing w:after="10" w:line="240" w:lineRule="auto"/>
            </w:pPr>
            <w:r>
              <w:rPr>
                <w:rFonts w:ascii="Arial" w:hAnsi="Arial"/>
                <w:sz w:val="14"/>
              </w:rPr>
              <w:t>304</w:t>
            </w:r>
          </w:p>
        </w:tc>
        <w:tc>
          <w:tcPr>
            <w:tcW w:type="dxa" w:w="1728"/>
            <w:tcMar>
              <w:top w:w="55" w:type="dxa"/>
              <w:start w:w="70" w:type="dxa"/>
              <w:bottom w:w="55" w:type="dxa"/>
              <w:end w:w="70" w:type="dxa"/>
            </w:tcMar>
            <w:vAlign w:val="top"/>
          </w:tcPr>
          <w:p>
            <w:pPr>
              <w:spacing w:after="10" w:line="240" w:lineRule="auto"/>
            </w:pPr>
            <w:r>
              <w:rPr>
                <w:rFonts w:ascii="Arial" w:hAnsi="Arial"/>
                <w:sz w:val="14"/>
              </w:rPr>
              <w:t>69</w:t>
            </w:r>
          </w:p>
        </w:tc>
        <w:tc>
          <w:tcPr>
            <w:tcW w:type="dxa" w:w="1440"/>
            <w:tcMar>
              <w:top w:w="55" w:type="dxa"/>
              <w:start w:w="70" w:type="dxa"/>
              <w:bottom w:w="55" w:type="dxa"/>
              <w:end w:w="70" w:type="dxa"/>
            </w:tcMar>
            <w:vAlign w:val="top"/>
          </w:tcPr>
          <w:p>
            <w:pPr>
              <w:spacing w:after="10" w:line="240" w:lineRule="auto"/>
            </w:pPr>
            <w:r>
              <w:rPr>
                <w:rFonts w:ascii="Arial" w:hAnsi="Arial"/>
                <w:sz w:val="14"/>
              </w:rPr>
              <w:t>0.98x</w:t>
            </w:r>
          </w:p>
        </w:tc>
      </w:tr>
      <w:tr>
        <w:trPr>
          <w:cantSplit/>
        </w:trPr>
        <w:tc>
          <w:tcPr>
            <w:tcW w:type="dxa" w:w="1296"/>
            <w:shd w:fill="F7F7F7"/>
            <w:tcMar>
              <w:top w:w="55" w:type="dxa"/>
              <w:start w:w="70" w:type="dxa"/>
              <w:bottom w:w="55" w:type="dxa"/>
              <w:end w:w="70" w:type="dxa"/>
            </w:tcMar>
            <w:vAlign w:val="top"/>
          </w:tcPr>
          <w:p>
            <w:pPr>
              <w:spacing w:after="10" w:line="240" w:lineRule="auto"/>
            </w:pPr>
            <w:r>
              <w:rPr>
                <w:rFonts w:ascii="Arial" w:hAnsi="Arial"/>
                <w:b/>
                <w:sz w:val="14"/>
              </w:rPr>
              <w:t>FY18</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4"/>
              </w:rPr>
              <w:t>332</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4"/>
              </w:rPr>
              <w:t>88</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4"/>
              </w:rPr>
              <w:t>244</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4"/>
              </w:rPr>
              <w:t>92</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4"/>
              </w:rPr>
              <w:t>0.92x</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4"/>
              </w:rPr>
              <w:t>FY19</w:t>
            </w:r>
          </w:p>
        </w:tc>
        <w:tc>
          <w:tcPr>
            <w:tcW w:type="dxa" w:w="1872"/>
            <w:tcMar>
              <w:top w:w="55" w:type="dxa"/>
              <w:start w:w="70" w:type="dxa"/>
              <w:bottom w:w="55" w:type="dxa"/>
              <w:end w:w="70" w:type="dxa"/>
            </w:tcMar>
            <w:vAlign w:val="top"/>
          </w:tcPr>
          <w:p>
            <w:pPr>
              <w:spacing w:after="10" w:line="240" w:lineRule="auto"/>
            </w:pPr>
            <w:r>
              <w:rPr>
                <w:rFonts w:ascii="Arial" w:hAnsi="Arial"/>
                <w:sz w:val="14"/>
              </w:rPr>
              <w:t>98</w:t>
            </w:r>
          </w:p>
        </w:tc>
        <w:tc>
          <w:tcPr>
            <w:tcW w:type="dxa" w:w="1440"/>
            <w:tcMar>
              <w:top w:w="55" w:type="dxa"/>
              <w:start w:w="70" w:type="dxa"/>
              <w:bottom w:w="55" w:type="dxa"/>
              <w:end w:w="70" w:type="dxa"/>
            </w:tcMar>
            <w:vAlign w:val="top"/>
          </w:tcPr>
          <w:p>
            <w:pPr>
              <w:spacing w:after="10" w:line="240" w:lineRule="auto"/>
            </w:pPr>
            <w:r>
              <w:rPr>
                <w:rFonts w:ascii="Arial" w:hAnsi="Arial"/>
                <w:sz w:val="14"/>
              </w:rPr>
              <w:t>4</w:t>
            </w:r>
          </w:p>
        </w:tc>
        <w:tc>
          <w:tcPr>
            <w:tcW w:type="dxa" w:w="1728"/>
            <w:tcMar>
              <w:top w:w="55" w:type="dxa"/>
              <w:start w:w="70" w:type="dxa"/>
              <w:bottom w:w="55" w:type="dxa"/>
              <w:end w:w="70" w:type="dxa"/>
            </w:tcMar>
            <w:vAlign w:val="top"/>
          </w:tcPr>
          <w:p>
            <w:pPr>
              <w:spacing w:after="10" w:line="240" w:lineRule="auto"/>
            </w:pPr>
            <w:r>
              <w:rPr>
                <w:rFonts w:ascii="Arial" w:hAnsi="Arial"/>
                <w:sz w:val="14"/>
              </w:rPr>
              <w:t>93</w:t>
            </w:r>
          </w:p>
        </w:tc>
        <w:tc>
          <w:tcPr>
            <w:tcW w:type="dxa" w:w="1728"/>
            <w:tcMar>
              <w:top w:w="55" w:type="dxa"/>
              <w:start w:w="70" w:type="dxa"/>
              <w:bottom w:w="55" w:type="dxa"/>
              <w:end w:w="70" w:type="dxa"/>
            </w:tcMar>
            <w:vAlign w:val="top"/>
          </w:tcPr>
          <w:p>
            <w:pPr>
              <w:spacing w:after="10" w:line="240" w:lineRule="auto"/>
            </w:pPr>
            <w:r>
              <w:rPr>
                <w:rFonts w:ascii="Arial" w:hAnsi="Arial"/>
                <w:sz w:val="14"/>
              </w:rPr>
              <w:t>91</w:t>
            </w:r>
          </w:p>
        </w:tc>
        <w:tc>
          <w:tcPr>
            <w:tcW w:type="dxa" w:w="1440"/>
            <w:tcMar>
              <w:top w:w="55" w:type="dxa"/>
              <w:start w:w="70" w:type="dxa"/>
              <w:bottom w:w="55" w:type="dxa"/>
              <w:end w:w="70" w:type="dxa"/>
            </w:tcMar>
            <w:vAlign w:val="top"/>
          </w:tcPr>
          <w:p>
            <w:pPr>
              <w:spacing w:after="10" w:line="240" w:lineRule="auto"/>
            </w:pPr>
            <w:r>
              <w:rPr>
                <w:rFonts w:ascii="Arial" w:hAnsi="Arial"/>
                <w:sz w:val="14"/>
              </w:rPr>
              <w:t>0.23x</w:t>
            </w:r>
          </w:p>
        </w:tc>
      </w:tr>
      <w:tr>
        <w:trPr>
          <w:cantSplit/>
        </w:trPr>
        <w:tc>
          <w:tcPr>
            <w:tcW w:type="dxa" w:w="1296"/>
            <w:shd w:fill="F7F7F7"/>
            <w:tcMar>
              <w:top w:w="55" w:type="dxa"/>
              <w:start w:w="70" w:type="dxa"/>
              <w:bottom w:w="55" w:type="dxa"/>
              <w:end w:w="70" w:type="dxa"/>
            </w:tcMar>
            <w:vAlign w:val="top"/>
          </w:tcPr>
          <w:p>
            <w:pPr>
              <w:spacing w:after="10" w:line="240" w:lineRule="auto"/>
            </w:pPr>
            <w:r>
              <w:rPr>
                <w:rFonts w:ascii="Arial" w:hAnsi="Arial"/>
                <w:b/>
                <w:sz w:val="14"/>
              </w:rPr>
              <w:t>FY20</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4"/>
              </w:rPr>
              <w:t>323</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4"/>
              </w:rPr>
              <w:t>17</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4"/>
              </w:rPr>
              <w:t>306</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4"/>
              </w:rPr>
              <w:t>103</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4"/>
              </w:rPr>
              <w:t>0.63x</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4"/>
              </w:rPr>
              <w:t>FY21</w:t>
            </w:r>
          </w:p>
        </w:tc>
        <w:tc>
          <w:tcPr>
            <w:tcW w:type="dxa" w:w="1872"/>
            <w:tcMar>
              <w:top w:w="55" w:type="dxa"/>
              <w:start w:w="70" w:type="dxa"/>
              <w:bottom w:w="55" w:type="dxa"/>
              <w:end w:w="70" w:type="dxa"/>
            </w:tcMar>
            <w:vAlign w:val="top"/>
          </w:tcPr>
          <w:p>
            <w:pPr>
              <w:spacing w:after="10" w:line="240" w:lineRule="auto"/>
            </w:pPr>
            <w:r>
              <w:rPr>
                <w:rFonts w:ascii="Arial" w:hAnsi="Arial"/>
                <w:sz w:val="14"/>
              </w:rPr>
              <w:t>427</w:t>
            </w:r>
          </w:p>
        </w:tc>
        <w:tc>
          <w:tcPr>
            <w:tcW w:type="dxa" w:w="1440"/>
            <w:tcMar>
              <w:top w:w="55" w:type="dxa"/>
              <w:start w:w="70" w:type="dxa"/>
              <w:bottom w:w="55" w:type="dxa"/>
              <w:end w:w="70" w:type="dxa"/>
            </w:tcMar>
            <w:vAlign w:val="top"/>
          </w:tcPr>
          <w:p>
            <w:pPr>
              <w:spacing w:after="10" w:line="240" w:lineRule="auto"/>
            </w:pPr>
            <w:r>
              <w:rPr>
                <w:rFonts w:ascii="Arial" w:hAnsi="Arial"/>
                <w:sz w:val="14"/>
              </w:rPr>
              <w:t>18</w:t>
            </w:r>
          </w:p>
        </w:tc>
        <w:tc>
          <w:tcPr>
            <w:tcW w:type="dxa" w:w="1728"/>
            <w:tcMar>
              <w:top w:w="55" w:type="dxa"/>
              <w:start w:w="70" w:type="dxa"/>
              <w:bottom w:w="55" w:type="dxa"/>
              <w:end w:w="70" w:type="dxa"/>
            </w:tcMar>
            <w:vAlign w:val="top"/>
          </w:tcPr>
          <w:p>
            <w:pPr>
              <w:spacing w:after="10" w:line="240" w:lineRule="auto"/>
            </w:pPr>
            <w:r>
              <w:rPr>
                <w:rFonts w:ascii="Arial" w:hAnsi="Arial"/>
                <w:sz w:val="14"/>
              </w:rPr>
              <w:t>410</w:t>
            </w:r>
          </w:p>
        </w:tc>
        <w:tc>
          <w:tcPr>
            <w:tcW w:type="dxa" w:w="1728"/>
            <w:tcMar>
              <w:top w:w="55" w:type="dxa"/>
              <w:start w:w="70" w:type="dxa"/>
              <w:bottom w:w="55" w:type="dxa"/>
              <w:end w:w="70" w:type="dxa"/>
            </w:tcMar>
            <w:vAlign w:val="top"/>
          </w:tcPr>
          <w:p>
            <w:pPr>
              <w:spacing w:after="10" w:line="240" w:lineRule="auto"/>
            </w:pPr>
            <w:r>
              <w:rPr>
                <w:rFonts w:ascii="Arial" w:hAnsi="Arial"/>
                <w:sz w:val="14"/>
              </w:rPr>
              <w:t>1,519</w:t>
            </w:r>
          </w:p>
        </w:tc>
        <w:tc>
          <w:tcPr>
            <w:tcW w:type="dxa" w:w="1440"/>
            <w:tcMar>
              <w:top w:w="55" w:type="dxa"/>
              <w:start w:w="70" w:type="dxa"/>
              <w:bottom w:w="55" w:type="dxa"/>
              <w:end w:w="70" w:type="dxa"/>
            </w:tcMar>
            <w:vAlign w:val="top"/>
          </w:tcPr>
          <w:p>
            <w:pPr>
              <w:spacing w:after="10" w:line="240" w:lineRule="auto"/>
            </w:pPr>
            <w:r>
              <w:rPr>
                <w:rFonts w:ascii="Arial" w:hAnsi="Arial"/>
                <w:sz w:val="14"/>
              </w:rPr>
              <w:t>0.86x</w:t>
            </w:r>
          </w:p>
        </w:tc>
      </w:tr>
      <w:tr>
        <w:trPr>
          <w:cantSplit/>
        </w:trPr>
        <w:tc>
          <w:tcPr>
            <w:tcW w:type="dxa" w:w="1296"/>
            <w:shd w:fill="F7F7F7"/>
            <w:tcMar>
              <w:top w:w="55" w:type="dxa"/>
              <w:start w:w="70" w:type="dxa"/>
              <w:bottom w:w="55" w:type="dxa"/>
              <w:end w:w="70" w:type="dxa"/>
            </w:tcMar>
            <w:vAlign w:val="top"/>
          </w:tcPr>
          <w:p>
            <w:pPr>
              <w:spacing w:after="10" w:line="240" w:lineRule="auto"/>
            </w:pPr>
            <w:r>
              <w:rPr>
                <w:rFonts w:ascii="Arial" w:hAnsi="Arial"/>
                <w:b/>
                <w:sz w:val="14"/>
              </w:rPr>
              <w:t>FY22</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4"/>
              </w:rPr>
              <w:t>667</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4"/>
              </w:rPr>
              <w:t>15</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4"/>
              </w:rPr>
              <w:t>652</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4"/>
              </w:rPr>
              <w:t>160</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4"/>
              </w:rPr>
              <w:t>1.09x</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4"/>
              </w:rPr>
              <w:t>FY23</w:t>
            </w:r>
          </w:p>
        </w:tc>
        <w:tc>
          <w:tcPr>
            <w:tcW w:type="dxa" w:w="1872"/>
            <w:tcMar>
              <w:top w:w="55" w:type="dxa"/>
              <w:start w:w="70" w:type="dxa"/>
              <w:bottom w:w="55" w:type="dxa"/>
              <w:end w:w="70" w:type="dxa"/>
            </w:tcMar>
            <w:vAlign w:val="top"/>
          </w:tcPr>
          <w:p>
            <w:pPr>
              <w:spacing w:after="10" w:line="240" w:lineRule="auto"/>
            </w:pPr>
            <w:r>
              <w:rPr>
                <w:rFonts w:ascii="Arial" w:hAnsi="Arial"/>
                <w:sz w:val="14"/>
              </w:rPr>
              <w:t>356</w:t>
            </w:r>
          </w:p>
        </w:tc>
        <w:tc>
          <w:tcPr>
            <w:tcW w:type="dxa" w:w="1440"/>
            <w:tcMar>
              <w:top w:w="55" w:type="dxa"/>
              <w:start w:w="70" w:type="dxa"/>
              <w:bottom w:w="55" w:type="dxa"/>
              <w:end w:w="70" w:type="dxa"/>
            </w:tcMar>
            <w:vAlign w:val="top"/>
          </w:tcPr>
          <w:p>
            <w:pPr>
              <w:spacing w:after="10" w:line="240" w:lineRule="auto"/>
            </w:pPr>
            <w:r>
              <w:rPr>
                <w:rFonts w:ascii="Arial" w:hAnsi="Arial"/>
                <w:sz w:val="14"/>
              </w:rPr>
              <w:t>65</w:t>
            </w:r>
          </w:p>
        </w:tc>
        <w:tc>
          <w:tcPr>
            <w:tcW w:type="dxa" w:w="1728"/>
            <w:tcMar>
              <w:top w:w="55" w:type="dxa"/>
              <w:start w:w="70" w:type="dxa"/>
              <w:bottom w:w="55" w:type="dxa"/>
              <w:end w:w="70" w:type="dxa"/>
            </w:tcMar>
            <w:vAlign w:val="top"/>
          </w:tcPr>
          <w:p>
            <w:pPr>
              <w:spacing w:after="10" w:line="240" w:lineRule="auto"/>
            </w:pPr>
            <w:r>
              <w:rPr>
                <w:rFonts w:ascii="Arial" w:hAnsi="Arial"/>
                <w:sz w:val="14"/>
              </w:rPr>
              <w:t>291</w:t>
            </w:r>
          </w:p>
        </w:tc>
        <w:tc>
          <w:tcPr>
            <w:tcW w:type="dxa" w:w="1728"/>
            <w:tcMar>
              <w:top w:w="55" w:type="dxa"/>
              <w:start w:w="70" w:type="dxa"/>
              <w:bottom w:w="55" w:type="dxa"/>
              <w:end w:w="70" w:type="dxa"/>
            </w:tcMar>
            <w:vAlign w:val="top"/>
          </w:tcPr>
          <w:p>
            <w:pPr>
              <w:spacing w:after="10" w:line="240" w:lineRule="auto"/>
            </w:pPr>
            <w:r>
              <w:rPr>
                <w:rFonts w:ascii="Arial" w:hAnsi="Arial"/>
                <w:sz w:val="14"/>
              </w:rPr>
              <w:t>297</w:t>
            </w:r>
          </w:p>
        </w:tc>
        <w:tc>
          <w:tcPr>
            <w:tcW w:type="dxa" w:w="1440"/>
            <w:tcMar>
              <w:top w:w="55" w:type="dxa"/>
              <w:start w:w="70" w:type="dxa"/>
              <w:bottom w:w="55" w:type="dxa"/>
              <w:end w:w="70" w:type="dxa"/>
            </w:tcMar>
            <w:vAlign w:val="top"/>
          </w:tcPr>
          <w:p>
            <w:pPr>
              <w:spacing w:after="10" w:line="240" w:lineRule="auto"/>
            </w:pPr>
            <w:r>
              <w:rPr>
                <w:rFonts w:ascii="Arial" w:hAnsi="Arial"/>
                <w:sz w:val="14"/>
              </w:rPr>
              <w:t>0.57x</w:t>
            </w:r>
          </w:p>
        </w:tc>
      </w:tr>
      <w:tr>
        <w:trPr>
          <w:cantSplit/>
        </w:trPr>
        <w:tc>
          <w:tcPr>
            <w:tcW w:type="dxa" w:w="1296"/>
            <w:shd w:fill="F7F7F7"/>
            <w:tcMar>
              <w:top w:w="55" w:type="dxa"/>
              <w:start w:w="70" w:type="dxa"/>
              <w:bottom w:w="55" w:type="dxa"/>
              <w:end w:w="70" w:type="dxa"/>
            </w:tcMar>
            <w:vAlign w:val="top"/>
          </w:tcPr>
          <w:p>
            <w:pPr>
              <w:spacing w:after="10" w:line="240" w:lineRule="auto"/>
            </w:pPr>
            <w:r>
              <w:rPr>
                <w:rFonts w:ascii="Arial" w:hAnsi="Arial"/>
                <w:b/>
                <w:sz w:val="14"/>
              </w:rPr>
              <w:t>FY24</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4"/>
              </w:rPr>
              <w:t>257</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4"/>
              </w:rPr>
              <w:t>19</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4"/>
              </w:rPr>
              <w:t>238</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4"/>
              </w:rPr>
              <w:t>183</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4"/>
              </w:rPr>
              <w:t>0.47x</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4"/>
              </w:rPr>
              <w:t>FY25</w:t>
            </w:r>
          </w:p>
        </w:tc>
        <w:tc>
          <w:tcPr>
            <w:tcW w:type="dxa" w:w="1872"/>
            <w:tcMar>
              <w:top w:w="55" w:type="dxa"/>
              <w:start w:w="70" w:type="dxa"/>
              <w:bottom w:w="55" w:type="dxa"/>
              <w:end w:w="70" w:type="dxa"/>
            </w:tcMar>
            <w:vAlign w:val="top"/>
          </w:tcPr>
          <w:p>
            <w:pPr>
              <w:spacing w:after="10" w:line="240" w:lineRule="auto"/>
            </w:pPr>
            <w:r>
              <w:rPr>
                <w:rFonts w:ascii="Arial" w:hAnsi="Arial"/>
                <w:sz w:val="14"/>
              </w:rPr>
              <w:t>660</w:t>
            </w:r>
          </w:p>
        </w:tc>
        <w:tc>
          <w:tcPr>
            <w:tcW w:type="dxa" w:w="1440"/>
            <w:tcMar>
              <w:top w:w="55" w:type="dxa"/>
              <w:start w:w="70" w:type="dxa"/>
              <w:bottom w:w="55" w:type="dxa"/>
              <w:end w:w="70" w:type="dxa"/>
            </w:tcMar>
            <w:vAlign w:val="top"/>
          </w:tcPr>
          <w:p>
            <w:pPr>
              <w:spacing w:after="10" w:line="240" w:lineRule="auto"/>
            </w:pPr>
            <w:r>
              <w:rPr>
                <w:rFonts w:ascii="Arial" w:hAnsi="Arial"/>
                <w:sz w:val="14"/>
              </w:rPr>
              <w:t>28</w:t>
            </w:r>
          </w:p>
        </w:tc>
        <w:tc>
          <w:tcPr>
            <w:tcW w:type="dxa" w:w="1728"/>
            <w:tcMar>
              <w:top w:w="55" w:type="dxa"/>
              <w:start w:w="70" w:type="dxa"/>
              <w:bottom w:w="55" w:type="dxa"/>
              <w:end w:w="70" w:type="dxa"/>
            </w:tcMar>
            <w:vAlign w:val="top"/>
          </w:tcPr>
          <w:p>
            <w:pPr>
              <w:spacing w:after="10" w:line="240" w:lineRule="auto"/>
            </w:pPr>
            <w:r>
              <w:rPr>
                <w:rFonts w:ascii="Arial" w:hAnsi="Arial"/>
                <w:sz w:val="14"/>
              </w:rPr>
              <w:t>632</w:t>
            </w:r>
          </w:p>
        </w:tc>
        <w:tc>
          <w:tcPr>
            <w:tcW w:type="dxa" w:w="1728"/>
            <w:tcMar>
              <w:top w:w="55" w:type="dxa"/>
              <w:start w:w="70" w:type="dxa"/>
              <w:bottom w:w="55" w:type="dxa"/>
              <w:end w:w="70" w:type="dxa"/>
            </w:tcMar>
            <w:vAlign w:val="top"/>
          </w:tcPr>
          <w:p>
            <w:pPr>
              <w:spacing w:after="10" w:line="240" w:lineRule="auto"/>
            </w:pPr>
            <w:r>
              <w:rPr>
                <w:rFonts w:ascii="Arial" w:hAnsi="Arial"/>
                <w:sz w:val="14"/>
              </w:rPr>
              <w:t>160</w:t>
            </w:r>
          </w:p>
        </w:tc>
        <w:tc>
          <w:tcPr>
            <w:tcW w:type="dxa" w:w="1440"/>
            <w:tcMar>
              <w:top w:w="55" w:type="dxa"/>
              <w:start w:w="70" w:type="dxa"/>
              <w:bottom w:w="55" w:type="dxa"/>
              <w:end w:w="70" w:type="dxa"/>
            </w:tcMar>
            <w:vAlign w:val="top"/>
          </w:tcPr>
          <w:p>
            <w:pPr>
              <w:spacing w:after="10" w:line="240" w:lineRule="auto"/>
            </w:pPr>
            <w:r>
              <w:rPr>
                <w:rFonts w:ascii="Arial" w:hAnsi="Arial"/>
                <w:sz w:val="14"/>
              </w:rPr>
              <w:t>0.86x</w:t>
            </w:r>
          </w:p>
        </w:tc>
      </w:tr>
      <w:tr>
        <w:trPr>
          <w:cantSplit/>
        </w:trPr>
        <w:tc>
          <w:tcPr>
            <w:tcW w:type="dxa" w:w="1296"/>
            <w:shd w:fill="F7F7F7"/>
            <w:tcMar>
              <w:top w:w="55" w:type="dxa"/>
              <w:start w:w="70" w:type="dxa"/>
              <w:bottom w:w="55" w:type="dxa"/>
              <w:end w:w="70" w:type="dxa"/>
            </w:tcMar>
            <w:vAlign w:val="top"/>
          </w:tcPr>
          <w:p>
            <w:pPr>
              <w:spacing w:after="10" w:line="240" w:lineRule="auto"/>
            </w:pPr>
            <w:r>
              <w:rPr>
                <w:rFonts w:ascii="Arial" w:hAnsi="Arial"/>
                <w:b/>
                <w:sz w:val="14"/>
              </w:rPr>
              <w:t>FY26</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4"/>
              </w:rPr>
              <w:t>968</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4"/>
              </w:rPr>
              <w:t>25</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4"/>
              </w:rPr>
              <w:t>942</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4"/>
              </w:rPr>
              <w:t>752</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4"/>
              </w:rPr>
              <w:t>1.34x</w:t>
            </w:r>
          </w:p>
        </w:tc>
      </w:tr>
    </w:tbl>
    <w:p>
      <w:pPr>
        <w:pStyle w:val="ExhibitTitle"/>
      </w:pPr>
      <w:r>
        <w:t>Exhibit 11. Cash conversion is strong over the cycle, but payout is episodic</w:t>
      </w:r>
    </w:p>
    <w:p>
      <w:r>
        <w:rPr>
          <w:color w:val="59636E"/>
          <w:sz w:val="15"/>
        </w:rPr>
        <w:t>FY21 and FY26 dividend cash flows reflect exceptional distributions. FY26 OCF benefited from working-capital release and exceeded reported PAT.</w:t>
      </w:r>
    </w:p>
    <w:p>
      <w:pPr>
        <w:pStyle w:val="Source"/>
      </w:pPr>
      <w:r>
        <w:t>Source: Pfizer annual reports FY17-FY26 [S3]. ₹ crore.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240"/>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Measure</w:t>
            </w:r>
          </w:p>
        </w:tc>
        <w:tc>
          <w:tcPr>
            <w:tcW w:type="dxa" w:w="2304"/>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FY26</w:t>
            </w:r>
          </w:p>
        </w:tc>
        <w:tc>
          <w:tcPr>
            <w:tcW w:type="dxa" w:w="5256"/>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Interpretation</w:t>
            </w:r>
          </w:p>
        </w:tc>
      </w:tr>
      <w:tr>
        <w:trPr>
          <w:cantSplit/>
        </w:trPr>
        <w:tc>
          <w:tcPr>
            <w:tcW w:type="dxa" w:w="3240"/>
            <w:tcMar>
              <w:top w:w="55" w:type="dxa"/>
              <w:start w:w="70" w:type="dxa"/>
              <w:bottom w:w="55" w:type="dxa"/>
              <w:end w:w="70" w:type="dxa"/>
            </w:tcMar>
            <w:vAlign w:val="top"/>
          </w:tcPr>
          <w:p>
            <w:pPr>
              <w:spacing w:after="10" w:line="240" w:lineRule="auto"/>
            </w:pPr>
            <w:r>
              <w:rPr>
                <w:rFonts w:ascii="Arial" w:hAnsi="Arial"/>
                <w:b/>
                <w:sz w:val="15"/>
              </w:rPr>
              <w:t>FY26 operating EBITDA</w:t>
            </w:r>
          </w:p>
        </w:tc>
        <w:tc>
          <w:tcPr>
            <w:tcW w:type="dxa" w:w="2304"/>
            <w:tcMar>
              <w:top w:w="55" w:type="dxa"/>
              <w:start w:w="70" w:type="dxa"/>
              <w:bottom w:w="55" w:type="dxa"/>
              <w:end w:w="70" w:type="dxa"/>
            </w:tcMar>
            <w:vAlign w:val="top"/>
          </w:tcPr>
          <w:p>
            <w:pPr>
              <w:spacing w:after="10" w:line="240" w:lineRule="auto"/>
            </w:pPr>
            <w:r>
              <w:rPr>
                <w:rFonts w:ascii="Arial" w:hAnsi="Arial"/>
                <w:sz w:val="15"/>
              </w:rPr>
              <w:t>₹904.1cr</w:t>
            </w:r>
          </w:p>
        </w:tc>
        <w:tc>
          <w:tcPr>
            <w:tcW w:type="dxa" w:w="5256"/>
            <w:tcMar>
              <w:top w:w="55" w:type="dxa"/>
              <w:start w:w="70" w:type="dxa"/>
              <w:bottom w:w="55" w:type="dxa"/>
              <w:end w:w="70" w:type="dxa"/>
            </w:tcMar>
            <w:vAlign w:val="top"/>
          </w:tcPr>
          <w:p>
            <w:pPr>
              <w:spacing w:after="10" w:line="240" w:lineRule="auto"/>
            </w:pPr>
            <w:r>
              <w:rPr>
                <w:rFonts w:ascii="Arial" w:hAnsi="Arial"/>
                <w:sz w:val="15"/>
              </w:rPr>
              <w:t>35.9% of revenue; calculated</w:t>
            </w:r>
          </w:p>
        </w:tc>
      </w:tr>
      <w:tr>
        <w:trPr>
          <w:cantSplit/>
        </w:trPr>
        <w:tc>
          <w:tcPr>
            <w:tcW w:type="dxa" w:w="3240"/>
            <w:shd w:fill="F7F7F7"/>
            <w:tcMar>
              <w:top w:w="55" w:type="dxa"/>
              <w:start w:w="70" w:type="dxa"/>
              <w:bottom w:w="55" w:type="dxa"/>
              <w:end w:w="70" w:type="dxa"/>
            </w:tcMar>
            <w:vAlign w:val="top"/>
          </w:tcPr>
          <w:p>
            <w:pPr>
              <w:spacing w:after="10" w:line="240" w:lineRule="auto"/>
            </w:pPr>
            <w:r>
              <w:rPr>
                <w:rFonts w:ascii="Arial" w:hAnsi="Arial"/>
                <w:b/>
                <w:sz w:val="15"/>
              </w:rPr>
              <w:t>FY26 operating EBIT</w:t>
            </w:r>
          </w:p>
        </w:tc>
        <w:tc>
          <w:tcPr>
            <w:tcW w:type="dxa" w:w="2304"/>
            <w:shd w:fill="F7F7F7"/>
            <w:tcMar>
              <w:top w:w="55" w:type="dxa"/>
              <w:start w:w="70" w:type="dxa"/>
              <w:bottom w:w="55" w:type="dxa"/>
              <w:end w:w="70" w:type="dxa"/>
            </w:tcMar>
            <w:vAlign w:val="top"/>
          </w:tcPr>
          <w:p>
            <w:pPr>
              <w:spacing w:after="10" w:line="240" w:lineRule="auto"/>
            </w:pPr>
            <w:r>
              <w:rPr>
                <w:rFonts w:ascii="Arial" w:hAnsi="Arial"/>
                <w:sz w:val="15"/>
              </w:rPr>
              <w:t>₹846.4cr</w:t>
            </w:r>
          </w:p>
        </w:tc>
        <w:tc>
          <w:tcPr>
            <w:tcW w:type="dxa" w:w="5256"/>
            <w:shd w:fill="F7F7F7"/>
            <w:tcMar>
              <w:top w:w="55" w:type="dxa"/>
              <w:start w:w="70" w:type="dxa"/>
              <w:bottom w:w="55" w:type="dxa"/>
              <w:end w:w="70" w:type="dxa"/>
            </w:tcMar>
            <w:vAlign w:val="top"/>
          </w:tcPr>
          <w:p>
            <w:pPr>
              <w:spacing w:after="10" w:line="240" w:lineRule="auto"/>
            </w:pPr>
            <w:r>
              <w:rPr>
                <w:rFonts w:ascii="Arial" w:hAnsi="Arial"/>
                <w:sz w:val="15"/>
              </w:rPr>
              <w:t>33.6% of revenue; calculated</w:t>
            </w:r>
          </w:p>
        </w:tc>
      </w:tr>
      <w:tr>
        <w:trPr>
          <w:cantSplit/>
        </w:trPr>
        <w:tc>
          <w:tcPr>
            <w:tcW w:type="dxa" w:w="3240"/>
            <w:tcMar>
              <w:top w:w="55" w:type="dxa"/>
              <w:start w:w="70" w:type="dxa"/>
              <w:bottom w:w="55" w:type="dxa"/>
              <w:end w:w="70" w:type="dxa"/>
            </w:tcMar>
            <w:vAlign w:val="top"/>
          </w:tcPr>
          <w:p>
            <w:pPr>
              <w:spacing w:after="10" w:line="240" w:lineRule="auto"/>
            </w:pPr>
            <w:r>
              <w:rPr>
                <w:rFonts w:ascii="Arial" w:hAnsi="Arial"/>
                <w:b/>
                <w:sz w:val="15"/>
              </w:rPr>
              <w:t>FY26 other income</w:t>
            </w:r>
          </w:p>
        </w:tc>
        <w:tc>
          <w:tcPr>
            <w:tcW w:type="dxa" w:w="2304"/>
            <w:tcMar>
              <w:top w:w="55" w:type="dxa"/>
              <w:start w:w="70" w:type="dxa"/>
              <w:bottom w:w="55" w:type="dxa"/>
              <w:end w:w="70" w:type="dxa"/>
            </w:tcMar>
            <w:vAlign w:val="top"/>
          </w:tcPr>
          <w:p>
            <w:pPr>
              <w:spacing w:after="10" w:line="240" w:lineRule="auto"/>
            </w:pPr>
            <w:r>
              <w:rPr>
                <w:rFonts w:ascii="Arial" w:hAnsi="Arial"/>
                <w:sz w:val="15"/>
              </w:rPr>
              <w:t>₹188.0cr</w:t>
            </w:r>
          </w:p>
        </w:tc>
        <w:tc>
          <w:tcPr>
            <w:tcW w:type="dxa" w:w="5256"/>
            <w:tcMar>
              <w:top w:w="55" w:type="dxa"/>
              <w:start w:w="70" w:type="dxa"/>
              <w:bottom w:w="55" w:type="dxa"/>
              <w:end w:w="70" w:type="dxa"/>
            </w:tcMar>
            <w:vAlign w:val="top"/>
          </w:tcPr>
          <w:p>
            <w:pPr>
              <w:spacing w:after="10" w:line="240" w:lineRule="auto"/>
            </w:pPr>
            <w:r>
              <w:rPr>
                <w:rFonts w:ascii="Arial" w:hAnsi="Arial"/>
                <w:sz w:val="15"/>
              </w:rPr>
              <w:t>18.3% of core PBT</w:t>
            </w:r>
          </w:p>
        </w:tc>
      </w:tr>
      <w:tr>
        <w:trPr>
          <w:cantSplit/>
        </w:trPr>
        <w:tc>
          <w:tcPr>
            <w:tcW w:type="dxa" w:w="3240"/>
            <w:shd w:fill="F7F7F7"/>
            <w:tcMar>
              <w:top w:w="55" w:type="dxa"/>
              <w:start w:w="70" w:type="dxa"/>
              <w:bottom w:w="55" w:type="dxa"/>
              <w:end w:w="70" w:type="dxa"/>
            </w:tcMar>
            <w:vAlign w:val="top"/>
          </w:tcPr>
          <w:p>
            <w:pPr>
              <w:spacing w:after="10" w:line="240" w:lineRule="auto"/>
            </w:pPr>
            <w:r>
              <w:rPr>
                <w:rFonts w:ascii="Arial" w:hAnsi="Arial"/>
                <w:b/>
                <w:sz w:val="15"/>
              </w:rPr>
              <w:t>FY26 core PBT</w:t>
            </w:r>
          </w:p>
        </w:tc>
        <w:tc>
          <w:tcPr>
            <w:tcW w:type="dxa" w:w="2304"/>
            <w:shd w:fill="F7F7F7"/>
            <w:tcMar>
              <w:top w:w="55" w:type="dxa"/>
              <w:start w:w="70" w:type="dxa"/>
              <w:bottom w:w="55" w:type="dxa"/>
              <w:end w:w="70" w:type="dxa"/>
            </w:tcMar>
            <w:vAlign w:val="top"/>
          </w:tcPr>
          <w:p>
            <w:pPr>
              <w:spacing w:after="10" w:line="240" w:lineRule="auto"/>
            </w:pPr>
            <w:r>
              <w:rPr>
                <w:rFonts w:ascii="Arial" w:hAnsi="Arial"/>
                <w:sz w:val="15"/>
              </w:rPr>
              <w:t>₹1,024.8cr</w:t>
            </w:r>
          </w:p>
        </w:tc>
        <w:tc>
          <w:tcPr>
            <w:tcW w:type="dxa" w:w="5256"/>
            <w:shd w:fill="F7F7F7"/>
            <w:tcMar>
              <w:top w:w="55" w:type="dxa"/>
              <w:start w:w="70" w:type="dxa"/>
              <w:bottom w:w="55" w:type="dxa"/>
              <w:end w:w="70" w:type="dxa"/>
            </w:tcMar>
            <w:vAlign w:val="top"/>
          </w:tcPr>
          <w:p>
            <w:pPr>
              <w:spacing w:after="10" w:line="240" w:lineRule="auto"/>
            </w:pPr>
            <w:r>
              <w:rPr>
                <w:rFonts w:ascii="Arial" w:hAnsi="Arial"/>
                <w:sz w:val="15"/>
              </w:rPr>
              <w:t>Excludes -₹49.2cr exceptional charge</w:t>
            </w:r>
          </w:p>
        </w:tc>
      </w:tr>
      <w:tr>
        <w:trPr>
          <w:cantSplit/>
        </w:trPr>
        <w:tc>
          <w:tcPr>
            <w:tcW w:type="dxa" w:w="3240"/>
            <w:tcMar>
              <w:top w:w="55" w:type="dxa"/>
              <w:start w:w="70" w:type="dxa"/>
              <w:bottom w:w="55" w:type="dxa"/>
              <w:end w:w="70" w:type="dxa"/>
            </w:tcMar>
            <w:vAlign w:val="top"/>
          </w:tcPr>
          <w:p>
            <w:pPr>
              <w:spacing w:after="10" w:line="240" w:lineRule="auto"/>
            </w:pPr>
            <w:r>
              <w:rPr>
                <w:rFonts w:ascii="Arial" w:hAnsi="Arial"/>
                <w:b/>
                <w:sz w:val="15"/>
              </w:rPr>
              <w:t>FY26 core PAT / EPS</w:t>
            </w:r>
          </w:p>
        </w:tc>
        <w:tc>
          <w:tcPr>
            <w:tcW w:type="dxa" w:w="2304"/>
            <w:tcMar>
              <w:top w:w="55" w:type="dxa"/>
              <w:start w:w="70" w:type="dxa"/>
              <w:bottom w:w="55" w:type="dxa"/>
              <w:end w:w="70" w:type="dxa"/>
            </w:tcMar>
            <w:vAlign w:val="top"/>
          </w:tcPr>
          <w:p>
            <w:pPr>
              <w:spacing w:after="10" w:line="240" w:lineRule="auto"/>
            </w:pPr>
            <w:r>
              <w:rPr>
                <w:rFonts w:ascii="Arial" w:hAnsi="Arial"/>
                <w:sz w:val="15"/>
              </w:rPr>
              <w:t>₹758.9cr / ₹165.9</w:t>
            </w:r>
          </w:p>
        </w:tc>
        <w:tc>
          <w:tcPr>
            <w:tcW w:type="dxa" w:w="5256"/>
            <w:tcMar>
              <w:top w:w="55" w:type="dxa"/>
              <w:start w:w="70" w:type="dxa"/>
              <w:bottom w:w="55" w:type="dxa"/>
              <w:end w:w="70" w:type="dxa"/>
            </w:tcMar>
            <w:vAlign w:val="top"/>
          </w:tcPr>
          <w:p>
            <w:pPr>
              <w:spacing w:after="10" w:line="240" w:lineRule="auto"/>
            </w:pPr>
            <w:r>
              <w:rPr>
                <w:rFonts w:ascii="Arial" w:hAnsi="Arial"/>
                <w:sz w:val="15"/>
              </w:rPr>
              <w:t>Company core EPS; PAT inferred from EPS/share count</w:t>
            </w:r>
          </w:p>
        </w:tc>
      </w:tr>
      <w:tr>
        <w:trPr>
          <w:cantSplit/>
        </w:trPr>
        <w:tc>
          <w:tcPr>
            <w:tcW w:type="dxa" w:w="3240"/>
            <w:shd w:fill="F7F7F7"/>
            <w:tcMar>
              <w:top w:w="55" w:type="dxa"/>
              <w:start w:w="70" w:type="dxa"/>
              <w:bottom w:w="55" w:type="dxa"/>
              <w:end w:w="70" w:type="dxa"/>
            </w:tcMar>
            <w:vAlign w:val="top"/>
          </w:tcPr>
          <w:p>
            <w:pPr>
              <w:spacing w:after="10" w:line="240" w:lineRule="auto"/>
            </w:pPr>
            <w:r>
              <w:rPr>
                <w:rFonts w:ascii="Arial" w:hAnsi="Arial"/>
                <w:b/>
                <w:sz w:val="15"/>
              </w:rPr>
              <w:t>FY26 reported PAT / EPS</w:t>
            </w:r>
          </w:p>
        </w:tc>
        <w:tc>
          <w:tcPr>
            <w:tcW w:type="dxa" w:w="2304"/>
            <w:shd w:fill="F7F7F7"/>
            <w:tcMar>
              <w:top w:w="55" w:type="dxa"/>
              <w:start w:w="70" w:type="dxa"/>
              <w:bottom w:w="55" w:type="dxa"/>
              <w:end w:w="70" w:type="dxa"/>
            </w:tcMar>
            <w:vAlign w:val="top"/>
          </w:tcPr>
          <w:p>
            <w:pPr>
              <w:spacing w:after="10" w:line="240" w:lineRule="auto"/>
            </w:pPr>
            <w:r>
              <w:rPr>
                <w:rFonts w:ascii="Arial" w:hAnsi="Arial"/>
                <w:sz w:val="15"/>
              </w:rPr>
              <w:t>₹722.4cr / ₹157.9</w:t>
            </w:r>
          </w:p>
        </w:tc>
        <w:tc>
          <w:tcPr>
            <w:tcW w:type="dxa" w:w="5256"/>
            <w:shd w:fill="F7F7F7"/>
            <w:tcMar>
              <w:top w:w="55" w:type="dxa"/>
              <w:start w:w="70" w:type="dxa"/>
              <w:bottom w:w="55" w:type="dxa"/>
              <w:end w:w="70" w:type="dxa"/>
            </w:tcMar>
            <w:vAlign w:val="top"/>
          </w:tcPr>
          <w:p>
            <w:pPr>
              <w:spacing w:after="10" w:line="240" w:lineRule="auto"/>
            </w:pPr>
            <w:r>
              <w:rPr>
                <w:rFonts w:ascii="Arial" w:hAnsi="Arial"/>
                <w:sz w:val="15"/>
              </w:rPr>
              <w:t>Reported</w:t>
            </w:r>
          </w:p>
        </w:tc>
      </w:tr>
      <w:tr>
        <w:trPr>
          <w:cantSplit/>
        </w:trPr>
        <w:tc>
          <w:tcPr>
            <w:tcW w:type="dxa" w:w="3240"/>
            <w:tcMar>
              <w:top w:w="55" w:type="dxa"/>
              <w:start w:w="70" w:type="dxa"/>
              <w:bottom w:w="55" w:type="dxa"/>
              <w:end w:w="70" w:type="dxa"/>
            </w:tcMar>
            <w:vAlign w:val="top"/>
          </w:tcPr>
          <w:p>
            <w:pPr>
              <w:spacing w:after="10" w:line="240" w:lineRule="auto"/>
            </w:pPr>
            <w:r>
              <w:rPr>
                <w:rFonts w:ascii="Arial" w:hAnsi="Arial"/>
                <w:b/>
                <w:sz w:val="15"/>
              </w:rPr>
              <w:t>Cash plus bank balances</w:t>
            </w:r>
          </w:p>
        </w:tc>
        <w:tc>
          <w:tcPr>
            <w:tcW w:type="dxa" w:w="2304"/>
            <w:tcMar>
              <w:top w:w="55" w:type="dxa"/>
              <w:start w:w="70" w:type="dxa"/>
              <w:bottom w:w="55" w:type="dxa"/>
              <w:end w:w="70" w:type="dxa"/>
            </w:tcMar>
            <w:vAlign w:val="top"/>
          </w:tcPr>
          <w:p>
            <w:pPr>
              <w:spacing w:after="10" w:line="240" w:lineRule="auto"/>
            </w:pPr>
            <w:r>
              <w:rPr>
                <w:rFonts w:ascii="Arial" w:hAnsi="Arial"/>
                <w:sz w:val="15"/>
              </w:rPr>
              <w:t>₹3,110.8cr</w:t>
            </w:r>
          </w:p>
        </w:tc>
        <w:tc>
          <w:tcPr>
            <w:tcW w:type="dxa" w:w="5256"/>
            <w:tcMar>
              <w:top w:w="55" w:type="dxa"/>
              <w:start w:w="70" w:type="dxa"/>
              <w:bottom w:w="55" w:type="dxa"/>
              <w:end w:w="70" w:type="dxa"/>
            </w:tcMar>
            <w:vAlign w:val="top"/>
          </w:tcPr>
          <w:p>
            <w:pPr>
              <w:spacing w:after="10" w:line="240" w:lineRule="auto"/>
            </w:pPr>
            <w:r>
              <w:rPr>
                <w:rFonts w:ascii="Arial" w:hAnsi="Arial"/>
                <w:sz w:val="15"/>
              </w:rPr>
              <w:t>₹680/share</w:t>
            </w:r>
          </w:p>
        </w:tc>
      </w:tr>
      <w:tr>
        <w:trPr>
          <w:cantSplit/>
        </w:trPr>
        <w:tc>
          <w:tcPr>
            <w:tcW w:type="dxa" w:w="3240"/>
            <w:shd w:fill="F7F7F7"/>
            <w:tcMar>
              <w:top w:w="55" w:type="dxa"/>
              <w:start w:w="70" w:type="dxa"/>
              <w:bottom w:w="55" w:type="dxa"/>
              <w:end w:w="70" w:type="dxa"/>
            </w:tcMar>
            <w:vAlign w:val="top"/>
          </w:tcPr>
          <w:p>
            <w:pPr>
              <w:spacing w:after="10" w:line="240" w:lineRule="auto"/>
            </w:pPr>
            <w:r>
              <w:rPr>
                <w:rFonts w:ascii="Arial" w:hAnsi="Arial"/>
                <w:b/>
                <w:sz w:val="15"/>
              </w:rPr>
              <w:t>Net working capital</w:t>
            </w:r>
          </w:p>
        </w:tc>
        <w:tc>
          <w:tcPr>
            <w:tcW w:type="dxa" w:w="2304"/>
            <w:shd w:fill="F7F7F7"/>
            <w:tcMar>
              <w:top w:w="55" w:type="dxa"/>
              <w:start w:w="70" w:type="dxa"/>
              <w:bottom w:w="55" w:type="dxa"/>
              <w:end w:w="70" w:type="dxa"/>
            </w:tcMar>
            <w:vAlign w:val="top"/>
          </w:tcPr>
          <w:p>
            <w:pPr>
              <w:spacing w:after="10" w:line="240" w:lineRule="auto"/>
            </w:pPr>
            <w:r>
              <w:rPr>
                <w:rFonts w:ascii="Arial" w:hAnsi="Arial"/>
                <w:sz w:val="15"/>
              </w:rPr>
              <w:t>₹28.0cr</w:t>
            </w:r>
          </w:p>
        </w:tc>
        <w:tc>
          <w:tcPr>
            <w:tcW w:type="dxa" w:w="5256"/>
            <w:shd w:fill="F7F7F7"/>
            <w:tcMar>
              <w:top w:w="55" w:type="dxa"/>
              <w:start w:w="70" w:type="dxa"/>
              <w:bottom w:w="55" w:type="dxa"/>
              <w:end w:w="70" w:type="dxa"/>
            </w:tcMar>
            <w:vAlign w:val="top"/>
          </w:tcPr>
          <w:p>
            <w:pPr>
              <w:spacing w:after="10" w:line="240" w:lineRule="auto"/>
            </w:pPr>
            <w:r>
              <w:rPr>
                <w:rFonts w:ascii="Arial" w:hAnsi="Arial"/>
                <w:sz w:val="15"/>
              </w:rPr>
              <w:t>Inventory + receivables - current liabilities; coarse definition</w:t>
            </w:r>
          </w:p>
        </w:tc>
      </w:tr>
    </w:tbl>
    <w:p>
      <w:pPr>
        <w:pStyle w:val="ExhibitTitle"/>
      </w:pPr>
      <w:r>
        <w:t>Exhibit 12. Core earnings are cleaner than reported PAT, but 18% of PBT is treasury income</w:t>
      </w:r>
    </w:p>
    <w:p>
      <w:r>
        <w:rPr>
          <w:color w:val="59636E"/>
          <w:sz w:val="15"/>
        </w:rPr>
        <w:t>Margins are real, yet a growing cash pile makes consolidated EPS less useful than operating EPS plus excess cash.</w:t>
      </w:r>
    </w:p>
    <w:p>
      <w:pPr>
        <w:pStyle w:val="Source"/>
      </w:pPr>
      <w:r>
        <w:t>Source: Pfizer FY26 Annual Report [S1]; Bernstein calculations.</w:t>
      </w:r>
    </w:p>
    <w:p>
      <w:pPr>
        <w:pStyle w:val="Heading2"/>
      </w:pPr>
      <w:r>
        <w:t>Discontinuities that matter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Period</w:t>
            </w:r>
          </w:p>
        </w:tc>
        <w:tc>
          <w:tcPr>
            <w:tcW w:type="dxa" w:w="4608"/>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Item</w:t>
            </w:r>
          </w:p>
        </w:tc>
        <w:tc>
          <w:tcPr>
            <w:tcW w:type="dxa" w:w="4896"/>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Analytical treatment</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4"/>
              </w:rPr>
              <w:t>FY17</w:t>
            </w:r>
          </w:p>
        </w:tc>
        <w:tc>
          <w:tcPr>
            <w:tcW w:type="dxa" w:w="4608"/>
            <w:tcMar>
              <w:top w:w="55" w:type="dxa"/>
              <w:start w:w="70" w:type="dxa"/>
              <w:bottom w:w="55" w:type="dxa"/>
              <w:end w:w="70" w:type="dxa"/>
            </w:tcMar>
            <w:vAlign w:val="top"/>
          </w:tcPr>
          <w:p>
            <w:pPr>
              <w:spacing w:after="10" w:line="240" w:lineRule="auto"/>
            </w:pPr>
            <w:r>
              <w:rPr>
                <w:rFonts w:ascii="Arial" w:hAnsi="Arial"/>
                <w:sz w:val="14"/>
              </w:rPr>
              <w:t>₹130.43cr exceptional gain</w:t>
            </w:r>
          </w:p>
        </w:tc>
        <w:tc>
          <w:tcPr>
            <w:tcW w:type="dxa" w:w="4896"/>
            <w:tcMar>
              <w:top w:w="55" w:type="dxa"/>
              <w:start w:w="70" w:type="dxa"/>
              <w:bottom w:w="55" w:type="dxa"/>
              <w:end w:w="70" w:type="dxa"/>
            </w:tcMar>
            <w:vAlign w:val="top"/>
          </w:tcPr>
          <w:p>
            <w:pPr>
              <w:spacing w:after="10" w:line="240" w:lineRule="auto"/>
            </w:pPr>
            <w:r>
              <w:rPr>
                <w:rFonts w:ascii="Arial" w:hAnsi="Arial"/>
                <w:sz w:val="14"/>
              </w:rPr>
              <w:t>Inflated reported PBT/EPS</w:t>
            </w:r>
          </w:p>
        </w:tc>
      </w:tr>
      <w:tr>
        <w:trPr>
          <w:cantSplit/>
        </w:trPr>
        <w:tc>
          <w:tcPr>
            <w:tcW w:type="dxa" w:w="1296"/>
            <w:shd w:fill="F7F7F7"/>
            <w:tcMar>
              <w:top w:w="55" w:type="dxa"/>
              <w:start w:w="70" w:type="dxa"/>
              <w:bottom w:w="55" w:type="dxa"/>
              <w:end w:w="70" w:type="dxa"/>
            </w:tcMar>
            <w:vAlign w:val="top"/>
          </w:tcPr>
          <w:p>
            <w:pPr>
              <w:spacing w:after="10" w:line="240" w:lineRule="auto"/>
            </w:pPr>
            <w:r>
              <w:rPr>
                <w:rFonts w:ascii="Arial" w:hAnsi="Arial"/>
                <w:b/>
                <w:sz w:val="14"/>
              </w:rPr>
              <w:t>FY22</w:t>
            </w:r>
          </w:p>
        </w:tc>
        <w:tc>
          <w:tcPr>
            <w:tcW w:type="dxa" w:w="4608"/>
            <w:shd w:fill="F7F7F7"/>
            <w:tcMar>
              <w:top w:w="55" w:type="dxa"/>
              <w:start w:w="70" w:type="dxa"/>
              <w:bottom w:w="55" w:type="dxa"/>
              <w:end w:w="70" w:type="dxa"/>
            </w:tcMar>
            <w:vAlign w:val="top"/>
          </w:tcPr>
          <w:p>
            <w:pPr>
              <w:spacing w:after="10" w:line="240" w:lineRule="auto"/>
            </w:pPr>
            <w:r>
              <w:rPr>
                <w:rFonts w:ascii="Arial" w:hAnsi="Arial"/>
                <w:sz w:val="14"/>
              </w:rPr>
              <w:t>Pandemic-era demand and channel effects</w:t>
            </w:r>
          </w:p>
        </w:tc>
        <w:tc>
          <w:tcPr>
            <w:tcW w:type="dxa" w:w="4896"/>
            <w:shd w:fill="F7F7F7"/>
            <w:tcMar>
              <w:top w:w="55" w:type="dxa"/>
              <w:start w:w="70" w:type="dxa"/>
              <w:bottom w:w="55" w:type="dxa"/>
              <w:end w:w="70" w:type="dxa"/>
            </w:tcMar>
            <w:vAlign w:val="top"/>
          </w:tcPr>
          <w:p>
            <w:pPr>
              <w:spacing w:after="10" w:line="240" w:lineRule="auto"/>
            </w:pPr>
            <w:r>
              <w:rPr>
                <w:rFonts w:ascii="Arial" w:hAnsi="Arial"/>
                <w:sz w:val="14"/>
              </w:rPr>
              <w:t>Revenue peaked at ₹2,611cr; not a clean base</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4"/>
              </w:rPr>
              <w:t>FY23</w:t>
            </w:r>
          </w:p>
        </w:tc>
        <w:tc>
          <w:tcPr>
            <w:tcW w:type="dxa" w:w="4608"/>
            <w:tcMar>
              <w:top w:w="55" w:type="dxa"/>
              <w:start w:w="70" w:type="dxa"/>
              <w:bottom w:w="55" w:type="dxa"/>
              <w:end w:w="70" w:type="dxa"/>
            </w:tcMar>
            <w:vAlign w:val="top"/>
          </w:tcPr>
          <w:p>
            <w:pPr>
              <w:spacing w:after="10" w:line="240" w:lineRule="auto"/>
            </w:pPr>
            <w:r>
              <w:rPr>
                <w:rFonts w:ascii="Arial" w:hAnsi="Arial"/>
                <w:sz w:val="14"/>
              </w:rPr>
              <w:t>Upjohn gain ₹188.92cr and Thane undertaking gain ₹67.12cr; net exceptional disclosed ₹33cr after offsets</w:t>
            </w:r>
          </w:p>
        </w:tc>
        <w:tc>
          <w:tcPr>
            <w:tcW w:type="dxa" w:w="4896"/>
            <w:tcMar>
              <w:top w:w="55" w:type="dxa"/>
              <w:start w:w="70" w:type="dxa"/>
              <w:bottom w:w="55" w:type="dxa"/>
              <w:end w:w="70" w:type="dxa"/>
            </w:tcMar>
            <w:vAlign w:val="top"/>
          </w:tcPr>
          <w:p>
            <w:pPr>
              <w:spacing w:after="10" w:line="240" w:lineRule="auto"/>
            </w:pPr>
            <w:r>
              <w:rPr>
                <w:rFonts w:ascii="Arial" w:hAnsi="Arial"/>
                <w:sz w:val="14"/>
              </w:rPr>
              <w:t>Portfolio shrank; headline cash did not recur</w:t>
            </w:r>
          </w:p>
        </w:tc>
      </w:tr>
      <w:tr>
        <w:trPr>
          <w:cantSplit/>
        </w:trPr>
        <w:tc>
          <w:tcPr>
            <w:tcW w:type="dxa" w:w="1296"/>
            <w:shd w:fill="F7F7F7"/>
            <w:tcMar>
              <w:top w:w="55" w:type="dxa"/>
              <w:start w:w="70" w:type="dxa"/>
              <w:bottom w:w="55" w:type="dxa"/>
              <w:end w:w="70" w:type="dxa"/>
            </w:tcMar>
            <w:vAlign w:val="top"/>
          </w:tcPr>
          <w:p>
            <w:pPr>
              <w:spacing w:after="10" w:line="240" w:lineRule="auto"/>
            </w:pPr>
            <w:r>
              <w:rPr>
                <w:rFonts w:ascii="Arial" w:hAnsi="Arial"/>
                <w:b/>
                <w:sz w:val="14"/>
              </w:rPr>
              <w:t>FY24</w:t>
            </w:r>
          </w:p>
        </w:tc>
        <w:tc>
          <w:tcPr>
            <w:tcW w:type="dxa" w:w="4608"/>
            <w:shd w:fill="F7F7F7"/>
            <w:tcMar>
              <w:top w:w="55" w:type="dxa"/>
              <w:start w:w="70" w:type="dxa"/>
              <w:bottom w:w="55" w:type="dxa"/>
              <w:end w:w="70" w:type="dxa"/>
            </w:tcMar>
            <w:vAlign w:val="top"/>
          </w:tcPr>
          <w:p>
            <w:pPr>
              <w:spacing w:after="10" w:line="240" w:lineRule="auto"/>
            </w:pPr>
            <w:r>
              <w:rPr>
                <w:rFonts w:ascii="Arial" w:hAnsi="Arial"/>
                <w:sz w:val="14"/>
              </w:rPr>
              <w:t>₹7.95cr exceptional gain</w:t>
            </w:r>
          </w:p>
        </w:tc>
        <w:tc>
          <w:tcPr>
            <w:tcW w:type="dxa" w:w="4896"/>
            <w:shd w:fill="F7F7F7"/>
            <w:tcMar>
              <w:top w:w="55" w:type="dxa"/>
              <w:start w:w="70" w:type="dxa"/>
              <w:bottom w:w="55" w:type="dxa"/>
              <w:end w:w="70" w:type="dxa"/>
            </w:tcMar>
            <w:vAlign w:val="top"/>
          </w:tcPr>
          <w:p>
            <w:pPr>
              <w:spacing w:after="10" w:line="240" w:lineRule="auto"/>
            </w:pPr>
            <w:r>
              <w:rPr>
                <w:rFonts w:ascii="Arial" w:hAnsi="Arial"/>
                <w:sz w:val="14"/>
              </w:rPr>
              <w:t>Minor</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4"/>
              </w:rPr>
              <w:t>FY25</w:t>
            </w:r>
          </w:p>
        </w:tc>
        <w:tc>
          <w:tcPr>
            <w:tcW w:type="dxa" w:w="4608"/>
            <w:tcMar>
              <w:top w:w="55" w:type="dxa"/>
              <w:start w:w="70" w:type="dxa"/>
              <w:bottom w:w="55" w:type="dxa"/>
              <w:end w:w="70" w:type="dxa"/>
            </w:tcMar>
            <w:vAlign w:val="top"/>
          </w:tcPr>
          <w:p>
            <w:pPr>
              <w:spacing w:after="10" w:line="240" w:lineRule="auto"/>
            </w:pPr>
            <w:r>
              <w:rPr>
                <w:rFonts w:ascii="Arial" w:hAnsi="Arial"/>
                <w:sz w:val="14"/>
              </w:rPr>
              <w:t>₹172.81cr Thane land/building gain</w:t>
            </w:r>
          </w:p>
        </w:tc>
        <w:tc>
          <w:tcPr>
            <w:tcW w:type="dxa" w:w="4896"/>
            <w:tcMar>
              <w:top w:w="55" w:type="dxa"/>
              <w:start w:w="70" w:type="dxa"/>
              <w:bottom w:w="55" w:type="dxa"/>
              <w:end w:w="70" w:type="dxa"/>
            </w:tcMar>
            <w:vAlign w:val="top"/>
          </w:tcPr>
          <w:p>
            <w:pPr>
              <w:spacing w:after="10" w:line="240" w:lineRule="auto"/>
            </w:pPr>
            <w:r>
              <w:rPr>
                <w:rFonts w:ascii="Arial" w:hAnsi="Arial"/>
                <w:sz w:val="14"/>
              </w:rPr>
              <w:t>Reported EPS ₹167.79 versus core ₹136.46</w:t>
            </w:r>
          </w:p>
        </w:tc>
      </w:tr>
      <w:tr>
        <w:trPr>
          <w:cantSplit/>
        </w:trPr>
        <w:tc>
          <w:tcPr>
            <w:tcW w:type="dxa" w:w="1296"/>
            <w:shd w:fill="F7F7F7"/>
            <w:tcMar>
              <w:top w:w="55" w:type="dxa"/>
              <w:start w:w="70" w:type="dxa"/>
              <w:bottom w:w="55" w:type="dxa"/>
              <w:end w:w="70" w:type="dxa"/>
            </w:tcMar>
            <w:vAlign w:val="top"/>
          </w:tcPr>
          <w:p>
            <w:pPr>
              <w:spacing w:after="10" w:line="240" w:lineRule="auto"/>
            </w:pPr>
            <w:r>
              <w:rPr>
                <w:rFonts w:ascii="Arial" w:hAnsi="Arial"/>
                <w:b/>
                <w:sz w:val="14"/>
              </w:rPr>
              <w:t>FY26</w:t>
            </w:r>
          </w:p>
        </w:tc>
        <w:tc>
          <w:tcPr>
            <w:tcW w:type="dxa" w:w="4608"/>
            <w:shd w:fill="F7F7F7"/>
            <w:tcMar>
              <w:top w:w="55" w:type="dxa"/>
              <w:start w:w="70" w:type="dxa"/>
              <w:bottom w:w="55" w:type="dxa"/>
              <w:end w:w="70" w:type="dxa"/>
            </w:tcMar>
            <w:vAlign w:val="top"/>
          </w:tcPr>
          <w:p>
            <w:pPr>
              <w:spacing w:after="10" w:line="240" w:lineRule="auto"/>
            </w:pPr>
            <w:r>
              <w:rPr>
                <w:rFonts w:ascii="Arial" w:hAnsi="Arial"/>
                <w:sz w:val="14"/>
              </w:rPr>
              <w:t>₹41.73cr field-force separation plus ₹7.43cr labour-code provision</w:t>
            </w:r>
          </w:p>
        </w:tc>
        <w:tc>
          <w:tcPr>
            <w:tcW w:type="dxa" w:w="4896"/>
            <w:shd w:fill="F7F7F7"/>
            <w:tcMar>
              <w:top w:w="55" w:type="dxa"/>
              <w:start w:w="70" w:type="dxa"/>
              <w:bottom w:w="55" w:type="dxa"/>
              <w:end w:w="70" w:type="dxa"/>
            </w:tcMar>
            <w:vAlign w:val="top"/>
          </w:tcPr>
          <w:p>
            <w:pPr>
              <w:spacing w:after="10" w:line="240" w:lineRule="auto"/>
            </w:pPr>
            <w:r>
              <w:rPr>
                <w:rFonts w:ascii="Arial" w:hAnsi="Arial"/>
                <w:sz w:val="14"/>
              </w:rPr>
              <w:t>Reported EPS ₹157.92 versus core ₹165.88</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4"/>
              </w:rPr>
              <w:t>FY27E</w:t>
            </w:r>
          </w:p>
        </w:tc>
        <w:tc>
          <w:tcPr>
            <w:tcW w:type="dxa" w:w="4608"/>
            <w:tcMar>
              <w:top w:w="55" w:type="dxa"/>
              <w:start w:w="70" w:type="dxa"/>
              <w:bottom w:w="55" w:type="dxa"/>
              <w:end w:w="70" w:type="dxa"/>
            </w:tcMar>
            <w:vAlign w:val="top"/>
          </w:tcPr>
          <w:p>
            <w:pPr>
              <w:spacing w:after="10" w:line="240" w:lineRule="auto"/>
            </w:pPr>
            <w:r>
              <w:rPr>
                <w:rFonts w:ascii="Arial" w:hAnsi="Arial"/>
                <w:sz w:val="14"/>
              </w:rPr>
              <w:t>Minipress US$13.9m compensation</w:t>
            </w:r>
          </w:p>
        </w:tc>
        <w:tc>
          <w:tcPr>
            <w:tcW w:type="dxa" w:w="4896"/>
            <w:tcMar>
              <w:top w:w="55" w:type="dxa"/>
              <w:start w:w="70" w:type="dxa"/>
              <w:bottom w:w="55" w:type="dxa"/>
              <w:end w:w="70" w:type="dxa"/>
            </w:tcMar>
            <w:vAlign w:val="top"/>
          </w:tcPr>
          <w:p>
            <w:pPr>
              <w:spacing w:after="10" w:line="240" w:lineRule="auto"/>
            </w:pPr>
            <w:r>
              <w:rPr>
                <w:rFonts w:ascii="Arial" w:hAnsi="Arial"/>
                <w:sz w:val="14"/>
              </w:rPr>
              <w:t>About ₹131.38cr pre-tax non-recurring; must be excluded from core EPS</w:t>
            </w:r>
          </w:p>
        </w:tc>
      </w:tr>
    </w:tbl>
    <w:p>
      <w:pPr>
        <w:pStyle w:val="Source"/>
      </w:pPr>
      <w:r>
        <w:t>Source: Pfizer annual reports and filings [S1, S5, S23-S25].</w:t>
      </w:r>
    </w:p>
    <w:p>
      <w:pPr>
        <w:pStyle w:val="Heading2"/>
      </w:pPr>
      <w:r>
        <w:t>One-case revenue and earnings framework</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296"/>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Year</w:t>
            </w:r>
          </w:p>
        </w:tc>
        <w:tc>
          <w:tcPr>
            <w:tcW w:type="dxa" w:w="1728"/>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Revenue ₹cr</w:t>
            </w:r>
          </w:p>
        </w:tc>
        <w:tc>
          <w:tcPr>
            <w:tcW w:type="dxa" w:w="1440"/>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Growth</w:t>
            </w:r>
          </w:p>
        </w:tc>
        <w:tc>
          <w:tcPr>
            <w:tcW w:type="dxa" w:w="1944"/>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Op EBITDA margin</w:t>
            </w:r>
          </w:p>
        </w:tc>
        <w:tc>
          <w:tcPr>
            <w:tcW w:type="dxa" w:w="1656"/>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Core EPS</w:t>
            </w:r>
          </w:p>
        </w:tc>
        <w:tc>
          <w:tcPr>
            <w:tcW w:type="dxa" w:w="1944"/>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Cash/banks ₹cr</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5"/>
              </w:rPr>
              <w:t>FY26A</w:t>
            </w:r>
          </w:p>
        </w:tc>
        <w:tc>
          <w:tcPr>
            <w:tcW w:type="dxa" w:w="1728"/>
            <w:tcMar>
              <w:top w:w="55" w:type="dxa"/>
              <w:start w:w="70" w:type="dxa"/>
              <w:bottom w:w="55" w:type="dxa"/>
              <w:end w:w="70" w:type="dxa"/>
            </w:tcMar>
            <w:vAlign w:val="top"/>
          </w:tcPr>
          <w:p>
            <w:pPr>
              <w:spacing w:after="10" w:line="240" w:lineRule="auto"/>
            </w:pPr>
            <w:r>
              <w:rPr>
                <w:rFonts w:ascii="Arial" w:hAnsi="Arial"/>
                <w:sz w:val="15"/>
              </w:rPr>
              <w:t>2,520</w:t>
            </w:r>
          </w:p>
        </w:tc>
        <w:tc>
          <w:tcPr>
            <w:tcW w:type="dxa" w:w="1440"/>
            <w:tcMar>
              <w:top w:w="55" w:type="dxa"/>
              <w:start w:w="70" w:type="dxa"/>
              <w:bottom w:w="55" w:type="dxa"/>
              <w:end w:w="70" w:type="dxa"/>
            </w:tcMar>
            <w:vAlign w:val="top"/>
          </w:tcPr>
          <w:p>
            <w:pPr>
              <w:spacing w:after="10" w:line="240" w:lineRule="auto"/>
            </w:pPr>
            <w:r>
              <w:rPr>
                <w:rFonts w:ascii="Arial" w:hAnsi="Arial"/>
                <w:sz w:val="15"/>
              </w:rPr>
              <w:t>11.7% product sales</w:t>
            </w:r>
          </w:p>
        </w:tc>
        <w:tc>
          <w:tcPr>
            <w:tcW w:type="dxa" w:w="1944"/>
            <w:tcMar>
              <w:top w:w="55" w:type="dxa"/>
              <w:start w:w="70" w:type="dxa"/>
              <w:bottom w:w="55" w:type="dxa"/>
              <w:end w:w="70" w:type="dxa"/>
            </w:tcMar>
            <w:vAlign w:val="top"/>
          </w:tcPr>
          <w:p>
            <w:pPr>
              <w:spacing w:after="10" w:line="240" w:lineRule="auto"/>
            </w:pPr>
            <w:r>
              <w:rPr>
                <w:rFonts w:ascii="Arial" w:hAnsi="Arial"/>
                <w:sz w:val="15"/>
              </w:rPr>
              <w:t>35.9%</w:t>
            </w:r>
          </w:p>
        </w:tc>
        <w:tc>
          <w:tcPr>
            <w:tcW w:type="dxa" w:w="1656"/>
            <w:tcMar>
              <w:top w:w="55" w:type="dxa"/>
              <w:start w:w="70" w:type="dxa"/>
              <w:bottom w:w="55" w:type="dxa"/>
              <w:end w:w="70" w:type="dxa"/>
            </w:tcMar>
            <w:vAlign w:val="top"/>
          </w:tcPr>
          <w:p>
            <w:pPr>
              <w:spacing w:after="10" w:line="240" w:lineRule="auto"/>
            </w:pPr>
            <w:r>
              <w:rPr>
                <w:rFonts w:ascii="Arial" w:hAnsi="Arial"/>
                <w:sz w:val="15"/>
              </w:rPr>
              <w:t>₹165.9 core</w:t>
            </w:r>
          </w:p>
        </w:tc>
        <w:tc>
          <w:tcPr>
            <w:tcW w:type="dxa" w:w="1944"/>
            <w:tcMar>
              <w:top w:w="55" w:type="dxa"/>
              <w:start w:w="70" w:type="dxa"/>
              <w:bottom w:w="55" w:type="dxa"/>
              <w:end w:w="70" w:type="dxa"/>
            </w:tcMar>
            <w:vAlign w:val="top"/>
          </w:tcPr>
          <w:p>
            <w:pPr>
              <w:spacing w:after="10" w:line="240" w:lineRule="auto"/>
            </w:pPr>
            <w:r>
              <w:rPr>
                <w:rFonts w:ascii="Arial" w:hAnsi="Arial"/>
                <w:sz w:val="15"/>
              </w:rPr>
              <w:t>₹3,111</w:t>
            </w:r>
          </w:p>
        </w:tc>
      </w:tr>
      <w:tr>
        <w:trPr>
          <w:cantSplit/>
        </w:trPr>
        <w:tc>
          <w:tcPr>
            <w:tcW w:type="dxa" w:w="1296"/>
            <w:shd w:fill="F7F7F7"/>
            <w:tcMar>
              <w:top w:w="55" w:type="dxa"/>
              <w:start w:w="70" w:type="dxa"/>
              <w:bottom w:w="55" w:type="dxa"/>
              <w:end w:w="70" w:type="dxa"/>
            </w:tcMar>
            <w:vAlign w:val="top"/>
          </w:tcPr>
          <w:p>
            <w:pPr>
              <w:spacing w:after="10" w:line="240" w:lineRule="auto"/>
            </w:pPr>
            <w:r>
              <w:rPr>
                <w:rFonts w:ascii="Arial" w:hAnsi="Arial"/>
                <w:b/>
                <w:sz w:val="15"/>
              </w:rPr>
              <w:t>FY27E</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5"/>
              </w:rPr>
              <w:t>2,700</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5"/>
              </w:rPr>
              <w:t>7.2%</w:t>
            </w:r>
          </w:p>
        </w:tc>
        <w:tc>
          <w:tcPr>
            <w:tcW w:type="dxa" w:w="1944"/>
            <w:shd w:fill="F7F7F7"/>
            <w:tcMar>
              <w:top w:w="55" w:type="dxa"/>
              <w:start w:w="70" w:type="dxa"/>
              <w:bottom w:w="55" w:type="dxa"/>
              <w:end w:w="70" w:type="dxa"/>
            </w:tcMar>
            <w:vAlign w:val="top"/>
          </w:tcPr>
          <w:p>
            <w:pPr>
              <w:spacing w:after="10" w:line="240" w:lineRule="auto"/>
            </w:pPr>
            <w:r>
              <w:rPr>
                <w:rFonts w:ascii="Arial" w:hAnsi="Arial"/>
                <w:sz w:val="15"/>
              </w:rPr>
              <w:t>36.0%</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5"/>
              </w:rPr>
              <w:t>₹180</w:t>
            </w:r>
          </w:p>
        </w:tc>
        <w:tc>
          <w:tcPr>
            <w:tcW w:type="dxa" w:w="1944"/>
            <w:shd w:fill="F7F7F7"/>
            <w:tcMar>
              <w:top w:w="55" w:type="dxa"/>
              <w:start w:w="70" w:type="dxa"/>
              <w:bottom w:w="55" w:type="dxa"/>
              <w:end w:w="70" w:type="dxa"/>
            </w:tcMar>
            <w:vAlign w:val="top"/>
          </w:tcPr>
          <w:p>
            <w:pPr>
              <w:spacing w:after="10" w:line="240" w:lineRule="auto"/>
            </w:pPr>
            <w:r>
              <w:rPr>
                <w:rFonts w:ascii="Arial" w:hAnsi="Arial"/>
                <w:sz w:val="15"/>
              </w:rPr>
              <w:t>₹3,220</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5"/>
              </w:rPr>
              <w:t>FY28E</w:t>
            </w:r>
          </w:p>
        </w:tc>
        <w:tc>
          <w:tcPr>
            <w:tcW w:type="dxa" w:w="1728"/>
            <w:tcMar>
              <w:top w:w="55" w:type="dxa"/>
              <w:start w:w="70" w:type="dxa"/>
              <w:bottom w:w="55" w:type="dxa"/>
              <w:end w:w="70" w:type="dxa"/>
            </w:tcMar>
            <w:vAlign w:val="top"/>
          </w:tcPr>
          <w:p>
            <w:pPr>
              <w:spacing w:after="10" w:line="240" w:lineRule="auto"/>
            </w:pPr>
            <w:r>
              <w:rPr>
                <w:rFonts w:ascii="Arial" w:hAnsi="Arial"/>
                <w:sz w:val="15"/>
              </w:rPr>
              <w:t>2,890</w:t>
            </w:r>
          </w:p>
        </w:tc>
        <w:tc>
          <w:tcPr>
            <w:tcW w:type="dxa" w:w="1440"/>
            <w:tcMar>
              <w:top w:w="55" w:type="dxa"/>
              <w:start w:w="70" w:type="dxa"/>
              <w:bottom w:w="55" w:type="dxa"/>
              <w:end w:w="70" w:type="dxa"/>
            </w:tcMar>
            <w:vAlign w:val="top"/>
          </w:tcPr>
          <w:p>
            <w:pPr>
              <w:spacing w:after="10" w:line="240" w:lineRule="auto"/>
            </w:pPr>
            <w:r>
              <w:rPr>
                <w:rFonts w:ascii="Arial" w:hAnsi="Arial"/>
                <w:sz w:val="15"/>
              </w:rPr>
              <w:t>7.0%</w:t>
            </w:r>
          </w:p>
        </w:tc>
        <w:tc>
          <w:tcPr>
            <w:tcW w:type="dxa" w:w="1944"/>
            <w:tcMar>
              <w:top w:w="55" w:type="dxa"/>
              <w:start w:w="70" w:type="dxa"/>
              <w:bottom w:w="55" w:type="dxa"/>
              <w:end w:w="70" w:type="dxa"/>
            </w:tcMar>
            <w:vAlign w:val="top"/>
          </w:tcPr>
          <w:p>
            <w:pPr>
              <w:spacing w:after="10" w:line="240" w:lineRule="auto"/>
            </w:pPr>
            <w:r>
              <w:rPr>
                <w:rFonts w:ascii="Arial" w:hAnsi="Arial"/>
                <w:sz w:val="15"/>
              </w:rPr>
              <w:t>36.2%</w:t>
            </w:r>
          </w:p>
        </w:tc>
        <w:tc>
          <w:tcPr>
            <w:tcW w:type="dxa" w:w="1656"/>
            <w:tcMar>
              <w:top w:w="55" w:type="dxa"/>
              <w:start w:w="70" w:type="dxa"/>
              <w:bottom w:w="55" w:type="dxa"/>
              <w:end w:w="70" w:type="dxa"/>
            </w:tcMar>
            <w:vAlign w:val="top"/>
          </w:tcPr>
          <w:p>
            <w:pPr>
              <w:spacing w:after="10" w:line="240" w:lineRule="auto"/>
            </w:pPr>
            <w:r>
              <w:rPr>
                <w:rFonts w:ascii="Arial" w:hAnsi="Arial"/>
                <w:sz w:val="15"/>
              </w:rPr>
              <w:t>₹193</w:t>
            </w:r>
          </w:p>
        </w:tc>
        <w:tc>
          <w:tcPr>
            <w:tcW w:type="dxa" w:w="1944"/>
            <w:tcMar>
              <w:top w:w="55" w:type="dxa"/>
              <w:start w:w="70" w:type="dxa"/>
              <w:bottom w:w="55" w:type="dxa"/>
              <w:end w:w="70" w:type="dxa"/>
            </w:tcMar>
            <w:vAlign w:val="top"/>
          </w:tcPr>
          <w:p>
            <w:pPr>
              <w:spacing w:after="10" w:line="240" w:lineRule="auto"/>
            </w:pPr>
            <w:r>
              <w:rPr>
                <w:rFonts w:ascii="Arial" w:hAnsi="Arial"/>
                <w:sz w:val="15"/>
              </w:rPr>
              <w:t>₹3,420</w:t>
            </w:r>
          </w:p>
        </w:tc>
      </w:tr>
      <w:tr>
        <w:trPr>
          <w:cantSplit/>
        </w:trPr>
        <w:tc>
          <w:tcPr>
            <w:tcW w:type="dxa" w:w="1296"/>
            <w:shd w:fill="F7F7F7"/>
            <w:tcMar>
              <w:top w:w="55" w:type="dxa"/>
              <w:start w:w="70" w:type="dxa"/>
              <w:bottom w:w="55" w:type="dxa"/>
              <w:end w:w="70" w:type="dxa"/>
            </w:tcMar>
            <w:vAlign w:val="top"/>
          </w:tcPr>
          <w:p>
            <w:pPr>
              <w:spacing w:after="10" w:line="240" w:lineRule="auto"/>
            </w:pPr>
            <w:r>
              <w:rPr>
                <w:rFonts w:ascii="Arial" w:hAnsi="Arial"/>
                <w:b/>
                <w:sz w:val="15"/>
              </w:rPr>
              <w:t>FY29E</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5"/>
              </w:rPr>
              <w:t>3,080</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5"/>
              </w:rPr>
              <w:t>6.6%</w:t>
            </w:r>
          </w:p>
        </w:tc>
        <w:tc>
          <w:tcPr>
            <w:tcW w:type="dxa" w:w="1944"/>
            <w:shd w:fill="F7F7F7"/>
            <w:tcMar>
              <w:top w:w="55" w:type="dxa"/>
              <w:start w:w="70" w:type="dxa"/>
              <w:bottom w:w="55" w:type="dxa"/>
              <w:end w:w="70" w:type="dxa"/>
            </w:tcMar>
            <w:vAlign w:val="top"/>
          </w:tcPr>
          <w:p>
            <w:pPr>
              <w:spacing w:after="10" w:line="240" w:lineRule="auto"/>
            </w:pPr>
            <w:r>
              <w:rPr>
                <w:rFonts w:ascii="Arial" w:hAnsi="Arial"/>
                <w:sz w:val="15"/>
              </w:rPr>
              <w:t>36.0%</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5"/>
              </w:rPr>
              <w:t>₹204</w:t>
            </w:r>
          </w:p>
        </w:tc>
        <w:tc>
          <w:tcPr>
            <w:tcW w:type="dxa" w:w="1944"/>
            <w:shd w:fill="F7F7F7"/>
            <w:tcMar>
              <w:top w:w="55" w:type="dxa"/>
              <w:start w:w="70" w:type="dxa"/>
              <w:bottom w:w="55" w:type="dxa"/>
              <w:end w:w="70" w:type="dxa"/>
            </w:tcMar>
            <w:vAlign w:val="top"/>
          </w:tcPr>
          <w:p>
            <w:pPr>
              <w:spacing w:after="10" w:line="240" w:lineRule="auto"/>
            </w:pPr>
            <w:r>
              <w:rPr>
                <w:rFonts w:ascii="Arial" w:hAnsi="Arial"/>
                <w:sz w:val="15"/>
              </w:rPr>
              <w:t>₹3,800</w:t>
            </w:r>
          </w:p>
        </w:tc>
      </w:tr>
      <w:tr>
        <w:trPr>
          <w:cantSplit/>
        </w:trPr>
        <w:tc>
          <w:tcPr>
            <w:tcW w:type="dxa" w:w="1296"/>
            <w:tcMar>
              <w:top w:w="55" w:type="dxa"/>
              <w:start w:w="70" w:type="dxa"/>
              <w:bottom w:w="55" w:type="dxa"/>
              <w:end w:w="70" w:type="dxa"/>
            </w:tcMar>
            <w:vAlign w:val="top"/>
          </w:tcPr>
          <w:p>
            <w:pPr>
              <w:spacing w:after="10" w:line="240" w:lineRule="auto"/>
            </w:pPr>
            <w:r>
              <w:rPr>
                <w:rFonts w:ascii="Arial" w:hAnsi="Arial"/>
                <w:b/>
                <w:sz w:val="15"/>
              </w:rPr>
              <w:t>FY30E</w:t>
            </w:r>
          </w:p>
        </w:tc>
        <w:tc>
          <w:tcPr>
            <w:tcW w:type="dxa" w:w="1728"/>
            <w:tcMar>
              <w:top w:w="55" w:type="dxa"/>
              <w:start w:w="70" w:type="dxa"/>
              <w:bottom w:w="55" w:type="dxa"/>
              <w:end w:w="70" w:type="dxa"/>
            </w:tcMar>
            <w:vAlign w:val="top"/>
          </w:tcPr>
          <w:p>
            <w:pPr>
              <w:spacing w:after="10" w:line="240" w:lineRule="auto"/>
            </w:pPr>
            <w:r>
              <w:rPr>
                <w:rFonts w:ascii="Arial" w:hAnsi="Arial"/>
                <w:sz w:val="15"/>
              </w:rPr>
              <w:t>3,280</w:t>
            </w:r>
          </w:p>
        </w:tc>
        <w:tc>
          <w:tcPr>
            <w:tcW w:type="dxa" w:w="1440"/>
            <w:tcMar>
              <w:top w:w="55" w:type="dxa"/>
              <w:start w:w="70" w:type="dxa"/>
              <w:bottom w:w="55" w:type="dxa"/>
              <w:end w:w="70" w:type="dxa"/>
            </w:tcMar>
            <w:vAlign w:val="top"/>
          </w:tcPr>
          <w:p>
            <w:pPr>
              <w:spacing w:after="10" w:line="240" w:lineRule="auto"/>
            </w:pPr>
            <w:r>
              <w:rPr>
                <w:rFonts w:ascii="Arial" w:hAnsi="Arial"/>
                <w:sz w:val="15"/>
              </w:rPr>
              <w:t>6.5%</w:t>
            </w:r>
          </w:p>
        </w:tc>
        <w:tc>
          <w:tcPr>
            <w:tcW w:type="dxa" w:w="1944"/>
            <w:tcMar>
              <w:top w:w="55" w:type="dxa"/>
              <w:start w:w="70" w:type="dxa"/>
              <w:bottom w:w="55" w:type="dxa"/>
              <w:end w:w="70" w:type="dxa"/>
            </w:tcMar>
            <w:vAlign w:val="top"/>
          </w:tcPr>
          <w:p>
            <w:pPr>
              <w:spacing w:after="10" w:line="240" w:lineRule="auto"/>
            </w:pPr>
            <w:r>
              <w:rPr>
                <w:rFonts w:ascii="Arial" w:hAnsi="Arial"/>
                <w:sz w:val="15"/>
              </w:rPr>
              <w:t>35.8%</w:t>
            </w:r>
          </w:p>
        </w:tc>
        <w:tc>
          <w:tcPr>
            <w:tcW w:type="dxa" w:w="1656"/>
            <w:tcMar>
              <w:top w:w="55" w:type="dxa"/>
              <w:start w:w="70" w:type="dxa"/>
              <w:bottom w:w="55" w:type="dxa"/>
              <w:end w:w="70" w:type="dxa"/>
            </w:tcMar>
            <w:vAlign w:val="top"/>
          </w:tcPr>
          <w:p>
            <w:pPr>
              <w:spacing w:after="10" w:line="240" w:lineRule="auto"/>
            </w:pPr>
            <w:r>
              <w:rPr>
                <w:rFonts w:ascii="Arial" w:hAnsi="Arial"/>
                <w:sz w:val="15"/>
              </w:rPr>
              <w:t>₹216</w:t>
            </w:r>
          </w:p>
        </w:tc>
        <w:tc>
          <w:tcPr>
            <w:tcW w:type="dxa" w:w="1944"/>
            <w:tcMar>
              <w:top w:w="55" w:type="dxa"/>
              <w:start w:w="70" w:type="dxa"/>
              <w:bottom w:w="55" w:type="dxa"/>
              <w:end w:w="70" w:type="dxa"/>
            </w:tcMar>
            <w:vAlign w:val="top"/>
          </w:tcPr>
          <w:p>
            <w:pPr>
              <w:spacing w:after="10" w:line="240" w:lineRule="auto"/>
            </w:pPr>
            <w:r>
              <w:rPr>
                <w:rFonts w:ascii="Arial" w:hAnsi="Arial"/>
                <w:sz w:val="15"/>
              </w:rPr>
              <w:t>₹4,120</w:t>
            </w:r>
          </w:p>
        </w:tc>
      </w:tr>
      <w:tr>
        <w:trPr>
          <w:cantSplit/>
        </w:trPr>
        <w:tc>
          <w:tcPr>
            <w:tcW w:type="dxa" w:w="1296"/>
            <w:shd w:fill="F7F7F7"/>
            <w:tcMar>
              <w:top w:w="55" w:type="dxa"/>
              <w:start w:w="70" w:type="dxa"/>
              <w:bottom w:w="55" w:type="dxa"/>
              <w:end w:w="70" w:type="dxa"/>
            </w:tcMar>
            <w:vAlign w:val="top"/>
          </w:tcPr>
          <w:p>
            <w:pPr>
              <w:spacing w:after="10" w:line="240" w:lineRule="auto"/>
            </w:pPr>
            <w:r>
              <w:rPr>
                <w:rFonts w:ascii="Arial" w:hAnsi="Arial"/>
                <w:b/>
                <w:sz w:val="15"/>
              </w:rPr>
              <w:t>FY31E</w:t>
            </w:r>
          </w:p>
        </w:tc>
        <w:tc>
          <w:tcPr>
            <w:tcW w:type="dxa" w:w="1728"/>
            <w:shd w:fill="F7F7F7"/>
            <w:tcMar>
              <w:top w:w="55" w:type="dxa"/>
              <w:start w:w="70" w:type="dxa"/>
              <w:bottom w:w="55" w:type="dxa"/>
              <w:end w:w="70" w:type="dxa"/>
            </w:tcMar>
            <w:vAlign w:val="top"/>
          </w:tcPr>
          <w:p>
            <w:pPr>
              <w:spacing w:after="10" w:line="240" w:lineRule="auto"/>
            </w:pPr>
            <w:r>
              <w:rPr>
                <w:rFonts w:ascii="Arial" w:hAnsi="Arial"/>
                <w:sz w:val="15"/>
              </w:rPr>
              <w:t>3,470</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5"/>
              </w:rPr>
              <w:t>5.8%</w:t>
            </w:r>
          </w:p>
        </w:tc>
        <w:tc>
          <w:tcPr>
            <w:tcW w:type="dxa" w:w="1944"/>
            <w:shd w:fill="F7F7F7"/>
            <w:tcMar>
              <w:top w:w="55" w:type="dxa"/>
              <w:start w:w="70" w:type="dxa"/>
              <w:bottom w:w="55" w:type="dxa"/>
              <w:end w:w="70" w:type="dxa"/>
            </w:tcMar>
            <w:vAlign w:val="top"/>
          </w:tcPr>
          <w:p>
            <w:pPr>
              <w:spacing w:after="10" w:line="240" w:lineRule="auto"/>
            </w:pPr>
            <w:r>
              <w:rPr>
                <w:rFonts w:ascii="Arial" w:hAnsi="Arial"/>
                <w:sz w:val="15"/>
              </w:rPr>
              <w:t>35.5%</w:t>
            </w:r>
          </w:p>
        </w:tc>
        <w:tc>
          <w:tcPr>
            <w:tcW w:type="dxa" w:w="1656"/>
            <w:shd w:fill="F7F7F7"/>
            <w:tcMar>
              <w:top w:w="55" w:type="dxa"/>
              <w:start w:w="70" w:type="dxa"/>
              <w:bottom w:w="55" w:type="dxa"/>
              <w:end w:w="70" w:type="dxa"/>
            </w:tcMar>
            <w:vAlign w:val="top"/>
          </w:tcPr>
          <w:p>
            <w:pPr>
              <w:spacing w:after="10" w:line="240" w:lineRule="auto"/>
            </w:pPr>
            <w:r>
              <w:rPr>
                <w:rFonts w:ascii="Arial" w:hAnsi="Arial"/>
                <w:sz w:val="15"/>
              </w:rPr>
              <w:t>₹226</w:t>
            </w:r>
          </w:p>
        </w:tc>
        <w:tc>
          <w:tcPr>
            <w:tcW w:type="dxa" w:w="1944"/>
            <w:shd w:fill="F7F7F7"/>
            <w:tcMar>
              <w:top w:w="55" w:type="dxa"/>
              <w:start w:w="70" w:type="dxa"/>
              <w:bottom w:w="55" w:type="dxa"/>
              <w:end w:w="70" w:type="dxa"/>
            </w:tcMar>
            <w:vAlign w:val="top"/>
          </w:tcPr>
          <w:p>
            <w:pPr>
              <w:spacing w:after="10" w:line="240" w:lineRule="auto"/>
            </w:pPr>
            <w:r>
              <w:rPr>
                <w:rFonts w:ascii="Arial" w:hAnsi="Arial"/>
                <w:sz w:val="15"/>
              </w:rPr>
              <w:t>₹4,390</w:t>
            </w:r>
          </w:p>
        </w:tc>
      </w:tr>
    </w:tbl>
    <w:p>
      <w:pPr>
        <w:pStyle w:val="ExhibitTitle"/>
      </w:pPr>
      <w:r>
        <w:t>Exhibit 13. A 6% to 7% revenue algorithm is enough for low-double-digit core EPS growth</w:t>
      </w:r>
    </w:p>
    <w:p>
      <w:r>
        <w:rPr>
          <w:color w:val="59636E"/>
          <w:sz w:val="15"/>
        </w:rPr>
        <w:t>Base case assumes vaccines, Eliquis and hospitals grow faster than the company, while Minipress leaves and mature brands grow low single digits. No private-product transfer is included.</w:t>
      </w:r>
    </w:p>
    <w:p>
      <w:pPr>
        <w:pStyle w:val="Source"/>
      </w:pPr>
      <w:r>
        <w:t>Source: FY26A [S1]; FY27E-FY31E Bernstein estimates. No management guidance was found.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Driver</w:t>
            </w:r>
          </w:p>
        </w:tc>
        <w:tc>
          <w:tcPr>
            <w:tcW w:type="dxa" w:w="2160"/>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Annual contribution</w:t>
            </w:r>
          </w:p>
        </w:tc>
        <w:tc>
          <w:tcPr>
            <w:tcW w:type="dxa" w:w="5472"/>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Assumption</w:t>
            </w:r>
          </w:p>
        </w:tc>
      </w:tr>
      <w:tr>
        <w:trPr>
          <w:cantSplit/>
        </w:trPr>
        <w:tc>
          <w:tcPr>
            <w:tcW w:type="dxa" w:w="2880"/>
            <w:tcMar>
              <w:top w:w="55" w:type="dxa"/>
              <w:start w:w="70" w:type="dxa"/>
              <w:bottom w:w="55" w:type="dxa"/>
              <w:end w:w="70" w:type="dxa"/>
            </w:tcMar>
            <w:vAlign w:val="top"/>
          </w:tcPr>
          <w:p>
            <w:pPr>
              <w:spacing w:after="10" w:line="240" w:lineRule="auto"/>
            </w:pPr>
            <w:r>
              <w:rPr>
                <w:rFonts w:ascii="Arial" w:hAnsi="Arial"/>
                <w:b/>
                <w:sz w:val="15"/>
              </w:rPr>
              <w:t>Established brands</w:t>
            </w:r>
          </w:p>
        </w:tc>
        <w:tc>
          <w:tcPr>
            <w:tcW w:type="dxa" w:w="2160"/>
            <w:tcMar>
              <w:top w:w="55" w:type="dxa"/>
              <w:start w:w="70" w:type="dxa"/>
              <w:bottom w:w="55" w:type="dxa"/>
              <w:end w:w="70" w:type="dxa"/>
            </w:tcMar>
            <w:vAlign w:val="top"/>
          </w:tcPr>
          <w:p>
            <w:pPr>
              <w:spacing w:after="10" w:line="240" w:lineRule="auto"/>
            </w:pPr>
            <w:r>
              <w:rPr>
                <w:rFonts w:ascii="Arial" w:hAnsi="Arial"/>
                <w:sz w:val="15"/>
              </w:rPr>
              <w:t>+2.0ppt</w:t>
            </w:r>
          </w:p>
        </w:tc>
        <w:tc>
          <w:tcPr>
            <w:tcW w:type="dxa" w:w="5472"/>
            <w:tcMar>
              <w:top w:w="55" w:type="dxa"/>
              <w:start w:w="70" w:type="dxa"/>
              <w:bottom w:w="55" w:type="dxa"/>
              <w:end w:w="70" w:type="dxa"/>
            </w:tcMar>
            <w:vAlign w:val="top"/>
          </w:tcPr>
          <w:p>
            <w:pPr>
              <w:spacing w:after="10" w:line="240" w:lineRule="auto"/>
            </w:pPr>
            <w:r>
              <w:rPr>
                <w:rFonts w:ascii="Arial" w:hAnsi="Arial"/>
                <w:sz w:val="15"/>
              </w:rPr>
              <w:t>Price and distribution offset ageing</w:t>
            </w:r>
          </w:p>
        </w:tc>
      </w:tr>
      <w:tr>
        <w:trPr>
          <w:cantSplit/>
        </w:trPr>
        <w:tc>
          <w:tcPr>
            <w:tcW w:type="dxa" w:w="2880"/>
            <w:shd w:fill="F7F7F7"/>
            <w:tcMar>
              <w:top w:w="55" w:type="dxa"/>
              <w:start w:w="70" w:type="dxa"/>
              <w:bottom w:w="55" w:type="dxa"/>
              <w:end w:w="70" w:type="dxa"/>
            </w:tcMar>
            <w:vAlign w:val="top"/>
          </w:tcPr>
          <w:p>
            <w:pPr>
              <w:spacing w:after="10" w:line="240" w:lineRule="auto"/>
            </w:pPr>
            <w:r>
              <w:rPr>
                <w:rFonts w:ascii="Arial" w:hAnsi="Arial"/>
                <w:b/>
                <w:sz w:val="15"/>
              </w:rPr>
              <w:t>Vaccines</w:t>
            </w:r>
          </w:p>
        </w:tc>
        <w:tc>
          <w:tcPr>
            <w:tcW w:type="dxa" w:w="2160"/>
            <w:shd w:fill="F7F7F7"/>
            <w:tcMar>
              <w:top w:w="55" w:type="dxa"/>
              <w:start w:w="70" w:type="dxa"/>
              <w:bottom w:w="55" w:type="dxa"/>
              <w:end w:w="70" w:type="dxa"/>
            </w:tcMar>
            <w:vAlign w:val="top"/>
          </w:tcPr>
          <w:p>
            <w:pPr>
              <w:spacing w:after="10" w:line="240" w:lineRule="auto"/>
            </w:pPr>
            <w:r>
              <w:rPr>
                <w:rFonts w:ascii="Arial" w:hAnsi="Arial"/>
                <w:sz w:val="15"/>
              </w:rPr>
              <w:t>+2.2ppt</w:t>
            </w:r>
          </w:p>
        </w:tc>
        <w:tc>
          <w:tcPr>
            <w:tcW w:type="dxa" w:w="5472"/>
            <w:shd w:fill="F7F7F7"/>
            <w:tcMar>
              <w:top w:w="55" w:type="dxa"/>
              <w:start w:w="70" w:type="dxa"/>
              <w:bottom w:w="55" w:type="dxa"/>
              <w:end w:w="70" w:type="dxa"/>
            </w:tcMar>
            <w:vAlign w:val="top"/>
          </w:tcPr>
          <w:p>
            <w:pPr>
              <w:spacing w:after="10" w:line="240" w:lineRule="auto"/>
            </w:pPr>
            <w:r>
              <w:rPr>
                <w:rFonts w:ascii="Arial" w:hAnsi="Arial"/>
                <w:sz w:val="15"/>
              </w:rPr>
              <w:t>Prevenar 20 adult adoption; PCV13 remains base</w:t>
            </w:r>
          </w:p>
        </w:tc>
      </w:tr>
      <w:tr>
        <w:trPr>
          <w:cantSplit/>
        </w:trPr>
        <w:tc>
          <w:tcPr>
            <w:tcW w:type="dxa" w:w="2880"/>
            <w:tcMar>
              <w:top w:w="55" w:type="dxa"/>
              <w:start w:w="70" w:type="dxa"/>
              <w:bottom w:w="55" w:type="dxa"/>
              <w:end w:w="70" w:type="dxa"/>
            </w:tcMar>
            <w:vAlign w:val="top"/>
          </w:tcPr>
          <w:p>
            <w:pPr>
              <w:spacing w:after="10" w:line="240" w:lineRule="auto"/>
            </w:pPr>
            <w:r>
              <w:rPr>
                <w:rFonts w:ascii="Arial" w:hAnsi="Arial"/>
                <w:b/>
                <w:sz w:val="15"/>
              </w:rPr>
              <w:t>Hospital portfolio</w:t>
            </w:r>
          </w:p>
        </w:tc>
        <w:tc>
          <w:tcPr>
            <w:tcW w:type="dxa" w:w="2160"/>
            <w:tcMar>
              <w:top w:w="55" w:type="dxa"/>
              <w:start w:w="70" w:type="dxa"/>
              <w:bottom w:w="55" w:type="dxa"/>
              <w:end w:w="70" w:type="dxa"/>
            </w:tcMar>
            <w:vAlign w:val="top"/>
          </w:tcPr>
          <w:p>
            <w:pPr>
              <w:spacing w:after="10" w:line="240" w:lineRule="auto"/>
            </w:pPr>
            <w:r>
              <w:rPr>
                <w:rFonts w:ascii="Arial" w:hAnsi="Arial"/>
                <w:sz w:val="15"/>
              </w:rPr>
              <w:t>+1.6ppt</w:t>
            </w:r>
          </w:p>
        </w:tc>
        <w:tc>
          <w:tcPr>
            <w:tcW w:type="dxa" w:w="5472"/>
            <w:tcMar>
              <w:top w:w="55" w:type="dxa"/>
              <w:start w:w="70" w:type="dxa"/>
              <w:bottom w:w="55" w:type="dxa"/>
              <w:end w:w="70" w:type="dxa"/>
            </w:tcMar>
            <w:vAlign w:val="top"/>
          </w:tcPr>
          <w:p>
            <w:pPr>
              <w:spacing w:after="10" w:line="240" w:lineRule="auto"/>
            </w:pPr>
            <w:r>
              <w:rPr>
                <w:rFonts w:ascii="Arial" w:hAnsi="Arial"/>
                <w:sz w:val="15"/>
              </w:rPr>
              <w:t>Zavicefta, Magnex and Emblaveo</w:t>
            </w:r>
          </w:p>
        </w:tc>
      </w:tr>
      <w:tr>
        <w:trPr>
          <w:cantSplit/>
        </w:trPr>
        <w:tc>
          <w:tcPr>
            <w:tcW w:type="dxa" w:w="2880"/>
            <w:shd w:fill="F7F7F7"/>
            <w:tcMar>
              <w:top w:w="55" w:type="dxa"/>
              <w:start w:w="70" w:type="dxa"/>
              <w:bottom w:w="55" w:type="dxa"/>
              <w:end w:w="70" w:type="dxa"/>
            </w:tcMar>
            <w:vAlign w:val="top"/>
          </w:tcPr>
          <w:p>
            <w:pPr>
              <w:spacing w:after="10" w:line="240" w:lineRule="auto"/>
            </w:pPr>
            <w:r>
              <w:rPr>
                <w:rFonts w:ascii="Arial" w:hAnsi="Arial"/>
                <w:b/>
                <w:sz w:val="15"/>
              </w:rPr>
              <w:t>New launches</w:t>
            </w:r>
          </w:p>
        </w:tc>
        <w:tc>
          <w:tcPr>
            <w:tcW w:type="dxa" w:w="2160"/>
            <w:shd w:fill="F7F7F7"/>
            <w:tcMar>
              <w:top w:w="55" w:type="dxa"/>
              <w:start w:w="70" w:type="dxa"/>
              <w:bottom w:w="55" w:type="dxa"/>
              <w:end w:w="70" w:type="dxa"/>
            </w:tcMar>
            <w:vAlign w:val="top"/>
          </w:tcPr>
          <w:p>
            <w:pPr>
              <w:spacing w:after="10" w:line="240" w:lineRule="auto"/>
            </w:pPr>
            <w:r>
              <w:rPr>
                <w:rFonts w:ascii="Arial" w:hAnsi="Arial"/>
                <w:sz w:val="15"/>
              </w:rPr>
              <w:t>+1.0ppt</w:t>
            </w:r>
          </w:p>
        </w:tc>
        <w:tc>
          <w:tcPr>
            <w:tcW w:type="dxa" w:w="5472"/>
            <w:shd w:fill="F7F7F7"/>
            <w:tcMar>
              <w:top w:w="55" w:type="dxa"/>
              <w:start w:w="70" w:type="dxa"/>
              <w:bottom w:w="55" w:type="dxa"/>
              <w:end w:w="70" w:type="dxa"/>
            </w:tcMar>
            <w:vAlign w:val="top"/>
          </w:tcPr>
          <w:p>
            <w:pPr>
              <w:spacing w:after="10" w:line="240" w:lineRule="auto"/>
            </w:pPr>
            <w:r>
              <w:rPr>
                <w:rFonts w:ascii="Arial" w:hAnsi="Arial"/>
                <w:sz w:val="15"/>
              </w:rPr>
              <w:t>Nurtec and smaller launches</w:t>
            </w:r>
          </w:p>
        </w:tc>
      </w:tr>
      <w:tr>
        <w:trPr>
          <w:cantSplit/>
        </w:trPr>
        <w:tc>
          <w:tcPr>
            <w:tcW w:type="dxa" w:w="2880"/>
            <w:tcMar>
              <w:top w:w="55" w:type="dxa"/>
              <w:start w:w="70" w:type="dxa"/>
              <w:bottom w:w="55" w:type="dxa"/>
              <w:end w:w="70" w:type="dxa"/>
            </w:tcMar>
            <w:vAlign w:val="top"/>
          </w:tcPr>
          <w:p>
            <w:pPr>
              <w:spacing w:after="10" w:line="240" w:lineRule="auto"/>
            </w:pPr>
            <w:r>
              <w:rPr>
                <w:rFonts w:ascii="Arial" w:hAnsi="Arial"/>
                <w:b/>
                <w:sz w:val="15"/>
              </w:rPr>
              <w:t>Price erosion/discontinuation</w:t>
            </w:r>
          </w:p>
        </w:tc>
        <w:tc>
          <w:tcPr>
            <w:tcW w:type="dxa" w:w="2160"/>
            <w:tcMar>
              <w:top w:w="55" w:type="dxa"/>
              <w:start w:w="70" w:type="dxa"/>
              <w:bottom w:w="55" w:type="dxa"/>
              <w:end w:w="70" w:type="dxa"/>
            </w:tcMar>
            <w:vAlign w:val="top"/>
          </w:tcPr>
          <w:p>
            <w:pPr>
              <w:spacing w:after="10" w:line="240" w:lineRule="auto"/>
            </w:pPr>
            <w:r>
              <w:rPr>
                <w:rFonts w:ascii="Arial" w:hAnsi="Arial"/>
                <w:sz w:val="15"/>
              </w:rPr>
              <w:t>-1.0ppt</w:t>
            </w:r>
          </w:p>
        </w:tc>
        <w:tc>
          <w:tcPr>
            <w:tcW w:type="dxa" w:w="5472"/>
            <w:tcMar>
              <w:top w:w="55" w:type="dxa"/>
              <w:start w:w="70" w:type="dxa"/>
              <w:bottom w:w="55" w:type="dxa"/>
              <w:end w:w="70" w:type="dxa"/>
            </w:tcMar>
            <w:vAlign w:val="top"/>
          </w:tcPr>
          <w:p>
            <w:pPr>
              <w:spacing w:after="10" w:line="240" w:lineRule="auto"/>
            </w:pPr>
            <w:r>
              <w:rPr>
                <w:rFonts w:ascii="Arial" w:hAnsi="Arial"/>
                <w:sz w:val="15"/>
              </w:rPr>
              <w:t>Minipress exit and generic pressure</w:t>
            </w:r>
          </w:p>
        </w:tc>
      </w:tr>
      <w:tr>
        <w:trPr>
          <w:cantSplit/>
        </w:trPr>
        <w:tc>
          <w:tcPr>
            <w:tcW w:type="dxa" w:w="2880"/>
            <w:shd w:fill="F7F7F7"/>
            <w:tcMar>
              <w:top w:w="55" w:type="dxa"/>
              <w:start w:w="70" w:type="dxa"/>
              <w:bottom w:w="55" w:type="dxa"/>
              <w:end w:w="70" w:type="dxa"/>
            </w:tcMar>
            <w:vAlign w:val="top"/>
          </w:tcPr>
          <w:p>
            <w:pPr>
              <w:spacing w:after="10" w:line="240" w:lineRule="auto"/>
            </w:pPr>
            <w:r>
              <w:rPr>
                <w:rFonts w:ascii="Arial" w:hAnsi="Arial"/>
                <w:b/>
                <w:sz w:val="15"/>
              </w:rPr>
              <w:t>Net FY27-FY31 revenue CAGR</w:t>
            </w:r>
          </w:p>
        </w:tc>
        <w:tc>
          <w:tcPr>
            <w:tcW w:type="dxa" w:w="2160"/>
            <w:shd w:fill="F7F7F7"/>
            <w:tcMar>
              <w:top w:w="55" w:type="dxa"/>
              <w:start w:w="70" w:type="dxa"/>
              <w:bottom w:w="55" w:type="dxa"/>
              <w:end w:w="70" w:type="dxa"/>
            </w:tcMar>
            <w:vAlign w:val="top"/>
          </w:tcPr>
          <w:p>
            <w:pPr>
              <w:spacing w:after="10" w:line="240" w:lineRule="auto"/>
            </w:pPr>
            <w:r>
              <w:rPr>
                <w:rFonts w:ascii="Arial" w:hAnsi="Arial"/>
                <w:sz w:val="15"/>
              </w:rPr>
              <w:t>5.8%-6.7%</w:t>
            </w:r>
          </w:p>
        </w:tc>
        <w:tc>
          <w:tcPr>
            <w:tcW w:type="dxa" w:w="5472"/>
            <w:shd w:fill="F7F7F7"/>
            <w:tcMar>
              <w:top w:w="55" w:type="dxa"/>
              <w:start w:w="70" w:type="dxa"/>
              <w:bottom w:w="55" w:type="dxa"/>
              <w:end w:w="70" w:type="dxa"/>
            </w:tcMar>
            <w:vAlign w:val="top"/>
          </w:tcPr>
          <w:p>
            <w:pPr>
              <w:spacing w:after="10" w:line="240" w:lineRule="auto"/>
            </w:pPr>
            <w:r>
              <w:rPr>
                <w:rFonts w:ascii="Arial" w:hAnsi="Arial"/>
                <w:sz w:val="15"/>
              </w:rPr>
              <w:t>One-case estimate</w:t>
            </w:r>
          </w:p>
        </w:tc>
      </w:tr>
    </w:tbl>
    <w:p>
      <w:pPr>
        <w:pStyle w:val="ExhibitTitle"/>
      </w:pPr>
      <w:r>
        <w:t>Exhibit 14. Growth requires the new portfolio to replace a persistent mature-brand drag</w:t>
      </w:r>
    </w:p>
    <w:p>
      <w:r>
        <w:rPr>
          <w:color w:val="59636E"/>
          <w:sz w:val="15"/>
        </w:rPr>
        <w:t>The model does not rely on broad parent-pipeline access.</w:t>
      </w:r>
    </w:p>
    <w:p>
      <w:pPr>
        <w:pStyle w:val="Source"/>
      </w:pPr>
      <w:r>
        <w:t>Source: Bernstein estimates based on [S1], [S4], [S5].</w:t>
      </w:r>
    </w:p>
    <w:p>
      <w:pPr>
        <w:pStyle w:val="Heading1"/>
      </w:pPr>
      <w:r>
        <w:t>PART VII: Controversies, risks and current news</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584"/>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Issue</w:t>
            </w:r>
          </w:p>
        </w:tc>
        <w:tc>
          <w:tcPr>
            <w:tcW w:type="dxa" w:w="1152"/>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Date</w:t>
            </w:r>
          </w:p>
        </w:tc>
        <w:tc>
          <w:tcPr>
            <w:tcW w:type="dxa" w:w="2592"/>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What happened</w:t>
            </w:r>
          </w:p>
        </w:tc>
        <w:tc>
          <w:tcPr>
            <w:tcW w:type="dxa" w:w="1872"/>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Financial impact</w:t>
            </w:r>
          </w:p>
        </w:tc>
        <w:tc>
          <w:tcPr>
            <w:tcW w:type="dxa" w:w="1440"/>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Status</w:t>
            </w:r>
          </w:p>
        </w:tc>
        <w:tc>
          <w:tcPr>
            <w:tcW w:type="dxa" w:w="2232"/>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Investor relevance</w:t>
            </w:r>
          </w:p>
        </w:tc>
        <w:tc>
          <w:tcPr>
            <w:tcW w:type="dxa" w:w="864"/>
            <w:shd w:fill="9B1C31"/>
            <w:tcMar>
              <w:top w:w="55" w:type="dxa"/>
              <w:start w:w="70" w:type="dxa"/>
              <w:bottom w:w="55" w:type="dxa"/>
              <w:end w:w="70" w:type="dxa"/>
            </w:tcMar>
            <w:vAlign w:val="center"/>
          </w:tcPr>
          <w:p>
            <w:pPr>
              <w:spacing w:line="240" w:lineRule="auto" w:after="10"/>
              <w:jc w:val="left"/>
            </w:pPr>
            <w:r>
              <w:rPr>
                <w:rFonts w:ascii="Arial" w:hAnsi="Arial"/>
                <w:b/>
                <w:color w:val="FFFFFF"/>
                <w:sz w:val="11"/>
              </w:rPr>
              <w:t>Source</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1"/>
              </w:rPr>
              <w:t>Private-affiliate ownership</w:t>
            </w:r>
          </w:p>
        </w:tc>
        <w:tc>
          <w:tcPr>
            <w:tcW w:type="dxa" w:w="1152"/>
            <w:tcMar>
              <w:top w:w="55" w:type="dxa"/>
              <w:start w:w="70" w:type="dxa"/>
              <w:bottom w:w="55" w:type="dxa"/>
              <w:end w:w="70" w:type="dxa"/>
            </w:tcMar>
            <w:vAlign w:val="top"/>
          </w:tcPr>
          <w:p>
            <w:pPr>
              <w:spacing w:after="10" w:line="240" w:lineRule="auto"/>
            </w:pPr>
            <w:r>
              <w:rPr>
                <w:rFonts w:ascii="Arial" w:hAnsi="Arial"/>
                <w:sz w:val="11"/>
              </w:rPr>
              <w:t>Current</w:t>
            </w:r>
          </w:p>
        </w:tc>
        <w:tc>
          <w:tcPr>
            <w:tcW w:type="dxa" w:w="2592"/>
            <w:tcMar>
              <w:top w:w="55" w:type="dxa"/>
              <w:start w:w="70" w:type="dxa"/>
              <w:bottom w:w="55" w:type="dxa"/>
              <w:end w:w="70" w:type="dxa"/>
            </w:tcMar>
            <w:vAlign w:val="top"/>
          </w:tcPr>
          <w:p>
            <w:pPr>
              <w:spacing w:after="10" w:line="240" w:lineRule="auto"/>
            </w:pPr>
            <w:r>
              <w:rPr>
                <w:rFonts w:ascii="Arial" w:hAnsi="Arial"/>
                <w:sz w:val="11"/>
              </w:rPr>
              <w:t>Official labels name PPIPL on multiple specialty products</w:t>
            </w:r>
          </w:p>
        </w:tc>
        <w:tc>
          <w:tcPr>
            <w:tcW w:type="dxa" w:w="1872"/>
            <w:tcMar>
              <w:top w:w="55" w:type="dxa"/>
              <w:start w:w="70" w:type="dxa"/>
              <w:bottom w:w="55" w:type="dxa"/>
              <w:end w:w="70" w:type="dxa"/>
            </w:tcMar>
            <w:vAlign w:val="top"/>
          </w:tcPr>
          <w:p>
            <w:pPr>
              <w:spacing w:after="10" w:line="240" w:lineRule="auto"/>
            </w:pPr>
            <w:r>
              <w:rPr>
                <w:rFonts w:ascii="Arial" w:hAnsi="Arial"/>
                <w:sz w:val="11"/>
              </w:rPr>
              <w:t>Size N/D</w:t>
            </w:r>
          </w:p>
        </w:tc>
        <w:tc>
          <w:tcPr>
            <w:tcW w:type="dxa" w:w="1440"/>
            <w:tcMar>
              <w:top w:w="55" w:type="dxa"/>
              <w:start w:w="70" w:type="dxa"/>
              <w:bottom w:w="55" w:type="dxa"/>
              <w:end w:w="70" w:type="dxa"/>
            </w:tcMar>
            <w:vAlign w:val="top"/>
          </w:tcPr>
          <w:p>
            <w:pPr>
              <w:spacing w:after="10" w:line="240" w:lineRule="auto"/>
            </w:pPr>
            <w:r>
              <w:rPr>
                <w:rFonts w:ascii="Arial" w:hAnsi="Arial"/>
                <w:sz w:val="11"/>
              </w:rPr>
              <w:t>Active</w:t>
            </w:r>
          </w:p>
        </w:tc>
        <w:tc>
          <w:tcPr>
            <w:tcW w:type="dxa" w:w="2232"/>
            <w:tcMar>
              <w:top w:w="55" w:type="dxa"/>
              <w:start w:w="70" w:type="dxa"/>
              <w:bottom w:w="55" w:type="dxa"/>
              <w:end w:w="70" w:type="dxa"/>
            </w:tcMar>
            <w:vAlign w:val="top"/>
          </w:tcPr>
          <w:p>
            <w:pPr>
              <w:spacing w:after="10" w:line="240" w:lineRule="auto"/>
            </w:pPr>
            <w:r>
              <w:rPr>
                <w:rFonts w:ascii="Arial" w:hAnsi="Arial"/>
                <w:sz w:val="11"/>
              </w:rPr>
              <w:t>Structural multiple discount</w:t>
            </w:r>
          </w:p>
        </w:tc>
        <w:tc>
          <w:tcPr>
            <w:tcW w:type="dxa" w:w="864"/>
            <w:tcMar>
              <w:top w:w="55" w:type="dxa"/>
              <w:start w:w="70" w:type="dxa"/>
              <w:bottom w:w="55" w:type="dxa"/>
              <w:end w:w="70" w:type="dxa"/>
            </w:tcMar>
            <w:vAlign w:val="top"/>
          </w:tcPr>
          <w:p>
            <w:pPr>
              <w:spacing w:after="10" w:line="240" w:lineRule="auto"/>
            </w:pPr>
            <w:r>
              <w:rPr>
                <w:rFonts w:ascii="Arial" w:hAnsi="Arial"/>
                <w:sz w:val="11"/>
              </w:rPr>
              <w:t>S9-S15</w:t>
            </w:r>
          </w:p>
        </w:tc>
      </w:tr>
      <w:tr>
        <w:trPr>
          <w:cantSplit/>
        </w:trPr>
        <w:tc>
          <w:tcPr>
            <w:tcW w:type="dxa" w:w="1584"/>
            <w:shd w:fill="F7F7F7"/>
            <w:tcMar>
              <w:top w:w="55" w:type="dxa"/>
              <w:start w:w="70" w:type="dxa"/>
              <w:bottom w:w="55" w:type="dxa"/>
              <w:end w:w="70" w:type="dxa"/>
            </w:tcMar>
            <w:vAlign w:val="top"/>
          </w:tcPr>
          <w:p>
            <w:pPr>
              <w:spacing w:after="10" w:line="240" w:lineRule="auto"/>
            </w:pPr>
            <w:r>
              <w:rPr>
                <w:rFonts w:ascii="Arial" w:hAnsi="Arial"/>
                <w:b/>
                <w:sz w:val="11"/>
              </w:rPr>
              <w:t>Minipress XL</w:t>
            </w:r>
          </w:p>
        </w:tc>
        <w:tc>
          <w:tcPr>
            <w:tcW w:type="dxa" w:w="1152"/>
            <w:shd w:fill="F7F7F7"/>
            <w:tcMar>
              <w:top w:w="55" w:type="dxa"/>
              <w:start w:w="70" w:type="dxa"/>
              <w:bottom w:w="55" w:type="dxa"/>
              <w:end w:w="70" w:type="dxa"/>
            </w:tcMar>
            <w:vAlign w:val="top"/>
          </w:tcPr>
          <w:p>
            <w:pPr>
              <w:spacing w:after="10" w:line="240" w:lineRule="auto"/>
            </w:pPr>
            <w:r>
              <w:rPr>
                <w:rFonts w:ascii="Arial" w:hAnsi="Arial"/>
                <w:sz w:val="11"/>
              </w:rPr>
              <w:t>7 Sep 2026</w:t>
            </w:r>
          </w:p>
        </w:tc>
        <w:tc>
          <w:tcPr>
            <w:tcW w:type="dxa" w:w="2592"/>
            <w:shd w:fill="F7F7F7"/>
            <w:tcMar>
              <w:top w:w="55" w:type="dxa"/>
              <w:start w:w="70" w:type="dxa"/>
              <w:bottom w:w="55" w:type="dxa"/>
              <w:end w:w="70" w:type="dxa"/>
            </w:tcMar>
            <w:vAlign w:val="top"/>
          </w:tcPr>
          <w:p>
            <w:pPr>
              <w:spacing w:after="10" w:line="240" w:lineRule="auto"/>
            </w:pPr>
            <w:r>
              <w:rPr>
                <w:rFonts w:ascii="Arial" w:hAnsi="Arial"/>
                <w:sz w:val="11"/>
              </w:rPr>
              <w:t>Listed marketing ended after parent manufacturing decision</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1"/>
              </w:rPr>
              <w:t>+₹131.38cr one-off; recurring sales lost</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Active transition</w:t>
            </w:r>
          </w:p>
        </w:tc>
        <w:tc>
          <w:tcPr>
            <w:tcW w:type="dxa" w:w="2232"/>
            <w:shd w:fill="F7F7F7"/>
            <w:tcMar>
              <w:top w:w="55" w:type="dxa"/>
              <w:start w:w="70" w:type="dxa"/>
              <w:bottom w:w="55" w:type="dxa"/>
              <w:end w:w="70" w:type="dxa"/>
            </w:tcMar>
            <w:vAlign w:val="top"/>
          </w:tcPr>
          <w:p>
            <w:pPr>
              <w:spacing w:after="10" w:line="240" w:lineRule="auto"/>
            </w:pPr>
            <w:r>
              <w:rPr>
                <w:rFonts w:ascii="Arial" w:hAnsi="Arial"/>
                <w:sz w:val="11"/>
              </w:rPr>
              <w:t>Shows parent control of supply/IP</w:t>
            </w:r>
          </w:p>
        </w:tc>
        <w:tc>
          <w:tcPr>
            <w:tcW w:type="dxa" w:w="864"/>
            <w:shd w:fill="F7F7F7"/>
            <w:tcMar>
              <w:top w:w="55" w:type="dxa"/>
              <w:start w:w="70" w:type="dxa"/>
              <w:bottom w:w="55" w:type="dxa"/>
              <w:end w:w="70" w:type="dxa"/>
            </w:tcMar>
            <w:vAlign w:val="top"/>
          </w:tcPr>
          <w:p>
            <w:pPr>
              <w:spacing w:after="10" w:line="240" w:lineRule="auto"/>
            </w:pPr>
            <w:r>
              <w:rPr>
                <w:rFonts w:ascii="Arial" w:hAnsi="Arial"/>
                <w:sz w:val="11"/>
              </w:rPr>
              <w:t>S5</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1"/>
              </w:rPr>
              <w:t>Premarin cream</w:t>
            </w:r>
          </w:p>
        </w:tc>
        <w:tc>
          <w:tcPr>
            <w:tcW w:type="dxa" w:w="1152"/>
            <w:tcMar>
              <w:top w:w="55" w:type="dxa"/>
              <w:start w:w="70" w:type="dxa"/>
              <w:bottom w:w="55" w:type="dxa"/>
              <w:end w:w="70" w:type="dxa"/>
            </w:tcMar>
            <w:vAlign w:val="top"/>
          </w:tcPr>
          <w:p>
            <w:pPr>
              <w:spacing w:after="10" w:line="240" w:lineRule="auto"/>
            </w:pPr>
            <w:r>
              <w:rPr>
                <w:rFonts w:ascii="Arial" w:hAnsi="Arial"/>
                <w:sz w:val="11"/>
              </w:rPr>
              <w:t>17 Jul 2026</w:t>
            </w:r>
          </w:p>
        </w:tc>
        <w:tc>
          <w:tcPr>
            <w:tcW w:type="dxa" w:w="2592"/>
            <w:tcMar>
              <w:top w:w="55" w:type="dxa"/>
              <w:start w:w="70" w:type="dxa"/>
              <w:bottom w:w="55" w:type="dxa"/>
              <w:end w:w="70" w:type="dxa"/>
            </w:tcMar>
            <w:vAlign w:val="top"/>
          </w:tcPr>
          <w:p>
            <w:pPr>
              <w:spacing w:after="10" w:line="240" w:lineRule="auto"/>
            </w:pPr>
            <w:r>
              <w:rPr>
                <w:rFonts w:ascii="Arial" w:hAnsi="Arial"/>
                <w:sz w:val="11"/>
              </w:rPr>
              <w:t>Temporary supply discontinuation</w:t>
            </w:r>
          </w:p>
        </w:tc>
        <w:tc>
          <w:tcPr>
            <w:tcW w:type="dxa" w:w="1872"/>
            <w:tcMar>
              <w:top w:w="55" w:type="dxa"/>
              <w:start w:w="70" w:type="dxa"/>
              <w:bottom w:w="55" w:type="dxa"/>
              <w:end w:w="70" w:type="dxa"/>
            </w:tcMar>
            <w:vAlign w:val="top"/>
          </w:tcPr>
          <w:p>
            <w:pPr>
              <w:spacing w:after="10" w:line="240" w:lineRule="auto"/>
            </w:pPr>
            <w:r>
              <w:rPr>
                <w:rFonts w:ascii="Arial" w:hAnsi="Arial"/>
                <w:sz w:val="11"/>
              </w:rPr>
              <w:t>&lt;1% revenue</w:t>
            </w:r>
          </w:p>
        </w:tc>
        <w:tc>
          <w:tcPr>
            <w:tcW w:type="dxa" w:w="1440"/>
            <w:tcMar>
              <w:top w:w="55" w:type="dxa"/>
              <w:start w:w="70" w:type="dxa"/>
              <w:bottom w:w="55" w:type="dxa"/>
              <w:end w:w="70" w:type="dxa"/>
            </w:tcMar>
            <w:vAlign w:val="top"/>
          </w:tcPr>
          <w:p>
            <w:pPr>
              <w:spacing w:after="10" w:line="240" w:lineRule="auto"/>
            </w:pPr>
            <w:r>
              <w:rPr>
                <w:rFonts w:ascii="Arial" w:hAnsi="Arial"/>
                <w:sz w:val="11"/>
              </w:rPr>
              <w:t>Temporary</w:t>
            </w:r>
          </w:p>
        </w:tc>
        <w:tc>
          <w:tcPr>
            <w:tcW w:type="dxa" w:w="2232"/>
            <w:tcMar>
              <w:top w:w="55" w:type="dxa"/>
              <w:start w:w="70" w:type="dxa"/>
              <w:bottom w:w="55" w:type="dxa"/>
              <w:end w:w="70" w:type="dxa"/>
            </w:tcMar>
            <w:vAlign w:val="top"/>
          </w:tcPr>
          <w:p>
            <w:pPr>
              <w:spacing w:after="10" w:line="240" w:lineRule="auto"/>
            </w:pPr>
            <w:r>
              <w:rPr>
                <w:rFonts w:ascii="Arial" w:hAnsi="Arial"/>
                <w:sz w:val="11"/>
              </w:rPr>
              <w:t>Small financial effect; import-supply signal</w:t>
            </w:r>
          </w:p>
        </w:tc>
        <w:tc>
          <w:tcPr>
            <w:tcW w:type="dxa" w:w="864"/>
            <w:tcMar>
              <w:top w:w="55" w:type="dxa"/>
              <w:start w:w="70" w:type="dxa"/>
              <w:bottom w:w="55" w:type="dxa"/>
              <w:end w:w="70" w:type="dxa"/>
            </w:tcMar>
            <w:vAlign w:val="top"/>
          </w:tcPr>
          <w:p>
            <w:pPr>
              <w:spacing w:after="10" w:line="240" w:lineRule="auto"/>
            </w:pPr>
            <w:r>
              <w:rPr>
                <w:rFonts w:ascii="Arial" w:hAnsi="Arial"/>
                <w:sz w:val="11"/>
              </w:rPr>
              <w:t>S6</w:t>
            </w:r>
          </w:p>
        </w:tc>
      </w:tr>
      <w:tr>
        <w:trPr>
          <w:cantSplit/>
        </w:trPr>
        <w:tc>
          <w:tcPr>
            <w:tcW w:type="dxa" w:w="1584"/>
            <w:shd w:fill="F7F7F7"/>
            <w:tcMar>
              <w:top w:w="55" w:type="dxa"/>
              <w:start w:w="70" w:type="dxa"/>
              <w:bottom w:w="55" w:type="dxa"/>
              <w:end w:w="70" w:type="dxa"/>
            </w:tcMar>
            <w:vAlign w:val="top"/>
          </w:tcPr>
          <w:p>
            <w:pPr>
              <w:spacing w:after="10" w:line="240" w:lineRule="auto"/>
            </w:pPr>
            <w:r>
              <w:rPr>
                <w:rFonts w:ascii="Arial" w:hAnsi="Arial"/>
                <w:b/>
                <w:sz w:val="11"/>
              </w:rPr>
              <w:t>DPCO/NPPA matters</w:t>
            </w:r>
          </w:p>
        </w:tc>
        <w:tc>
          <w:tcPr>
            <w:tcW w:type="dxa" w:w="1152"/>
            <w:shd w:fill="F7F7F7"/>
            <w:tcMar>
              <w:top w:w="55" w:type="dxa"/>
              <w:start w:w="70" w:type="dxa"/>
              <w:bottom w:w="55" w:type="dxa"/>
              <w:end w:w="70" w:type="dxa"/>
            </w:tcMar>
            <w:vAlign w:val="top"/>
          </w:tcPr>
          <w:p>
            <w:pPr>
              <w:spacing w:after="10" w:line="240" w:lineRule="auto"/>
            </w:pPr>
            <w:r>
              <w:rPr>
                <w:rFonts w:ascii="Arial" w:hAnsi="Arial"/>
                <w:sz w:val="11"/>
              </w:rPr>
              <w:t>Historic/current</w:t>
            </w:r>
          </w:p>
        </w:tc>
        <w:tc>
          <w:tcPr>
            <w:tcW w:type="dxa" w:w="2592"/>
            <w:shd w:fill="F7F7F7"/>
            <w:tcMar>
              <w:top w:w="55" w:type="dxa"/>
              <w:start w:w="70" w:type="dxa"/>
              <w:bottom w:w="55" w:type="dxa"/>
              <w:end w:w="70" w:type="dxa"/>
            </w:tcMar>
            <w:vAlign w:val="top"/>
          </w:tcPr>
          <w:p>
            <w:pPr>
              <w:spacing w:after="10" w:line="240" w:lineRule="auto"/>
            </w:pPr>
            <w:r>
              <w:rPr>
                <w:rFonts w:ascii="Arial" w:hAnsi="Arial"/>
                <w:sz w:val="11"/>
              </w:rPr>
              <w:t>Multiple price-control demands contested</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1"/>
              </w:rPr>
              <w:t>₹153.17cr demands; ₹120.90cr contingent; ₹19.39cr provision</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Litigation/contingent</w:t>
            </w:r>
          </w:p>
        </w:tc>
        <w:tc>
          <w:tcPr>
            <w:tcW w:type="dxa" w:w="2232"/>
            <w:shd w:fill="F7F7F7"/>
            <w:tcMar>
              <w:top w:w="55" w:type="dxa"/>
              <w:start w:w="70" w:type="dxa"/>
              <w:bottom w:w="55" w:type="dxa"/>
              <w:end w:w="70" w:type="dxa"/>
            </w:tcMar>
            <w:vAlign w:val="top"/>
          </w:tcPr>
          <w:p>
            <w:pPr>
              <w:spacing w:after="10" w:line="240" w:lineRule="auto"/>
            </w:pPr>
            <w:r>
              <w:rPr>
                <w:rFonts w:ascii="Arial" w:hAnsi="Arial"/>
                <w:sz w:val="11"/>
              </w:rPr>
              <w:t>Downside if adverse outcome</w:t>
            </w:r>
          </w:p>
        </w:tc>
        <w:tc>
          <w:tcPr>
            <w:tcW w:type="dxa" w:w="864"/>
            <w:shd w:fill="F7F7F7"/>
            <w:tcMar>
              <w:top w:w="55" w:type="dxa"/>
              <w:start w:w="70" w:type="dxa"/>
              <w:bottom w:w="55" w:type="dxa"/>
              <w:end w:w="70" w:type="dxa"/>
            </w:tcMar>
            <w:vAlign w:val="top"/>
          </w:tcPr>
          <w:p>
            <w:pPr>
              <w:spacing w:after="10" w:line="240" w:lineRule="auto"/>
            </w:pPr>
            <w:r>
              <w:rPr>
                <w:rFonts w:ascii="Arial" w:hAnsi="Arial"/>
                <w:sz w:val="11"/>
              </w:rPr>
              <w:t>S1 pp. 224-226</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1"/>
              </w:rPr>
              <w:t>Corex FDC ban</w:t>
            </w:r>
          </w:p>
        </w:tc>
        <w:tc>
          <w:tcPr>
            <w:tcW w:type="dxa" w:w="1152"/>
            <w:tcMar>
              <w:top w:w="55" w:type="dxa"/>
              <w:start w:w="70" w:type="dxa"/>
              <w:bottom w:w="55" w:type="dxa"/>
              <w:end w:w="70" w:type="dxa"/>
            </w:tcMar>
            <w:vAlign w:val="top"/>
          </w:tcPr>
          <w:p>
            <w:pPr>
              <w:spacing w:after="10" w:line="240" w:lineRule="auto"/>
            </w:pPr>
            <w:r>
              <w:rPr>
                <w:rFonts w:ascii="Arial" w:hAnsi="Arial"/>
                <w:sz w:val="11"/>
              </w:rPr>
              <w:t>Mar-Dec 2016</w:t>
            </w:r>
          </w:p>
        </w:tc>
        <w:tc>
          <w:tcPr>
            <w:tcW w:type="dxa" w:w="2592"/>
            <w:tcMar>
              <w:top w:w="55" w:type="dxa"/>
              <w:start w:w="70" w:type="dxa"/>
              <w:bottom w:w="55" w:type="dxa"/>
              <w:end w:w="70" w:type="dxa"/>
            </w:tcMar>
            <w:vAlign w:val="top"/>
          </w:tcPr>
          <w:p>
            <w:pPr>
              <w:spacing w:after="10" w:line="240" w:lineRule="auto"/>
            </w:pPr>
            <w:r>
              <w:rPr>
                <w:rFonts w:ascii="Arial" w:hAnsi="Arial"/>
                <w:sz w:val="11"/>
              </w:rPr>
              <w:t>Government ban stayed then quashed on process</w:t>
            </w:r>
          </w:p>
        </w:tc>
        <w:tc>
          <w:tcPr>
            <w:tcW w:type="dxa" w:w="1872"/>
            <w:tcMar>
              <w:top w:w="55" w:type="dxa"/>
              <w:start w:w="70" w:type="dxa"/>
              <w:bottom w:w="55" w:type="dxa"/>
              <w:end w:w="70" w:type="dxa"/>
            </w:tcMar>
            <w:vAlign w:val="top"/>
          </w:tcPr>
          <w:p>
            <w:pPr>
              <w:spacing w:after="10" w:line="240" w:lineRule="auto"/>
            </w:pPr>
            <w:r>
              <w:rPr>
                <w:rFonts w:ascii="Arial" w:hAnsi="Arial"/>
                <w:sz w:val="11"/>
              </w:rPr>
              <w:t>Historical disruption; current Corex Dx/LS marketed</w:t>
            </w:r>
          </w:p>
        </w:tc>
        <w:tc>
          <w:tcPr>
            <w:tcW w:type="dxa" w:w="1440"/>
            <w:tcMar>
              <w:top w:w="55" w:type="dxa"/>
              <w:start w:w="70" w:type="dxa"/>
              <w:bottom w:w="55" w:type="dxa"/>
              <w:end w:w="70" w:type="dxa"/>
            </w:tcMar>
            <w:vAlign w:val="top"/>
          </w:tcPr>
          <w:p>
            <w:pPr>
              <w:spacing w:after="10" w:line="240" w:lineRule="auto"/>
            </w:pPr>
            <w:r>
              <w:rPr>
                <w:rFonts w:ascii="Arial" w:hAnsi="Arial"/>
                <w:sz w:val="11"/>
              </w:rPr>
              <w:t>Historical</w:t>
            </w:r>
          </w:p>
        </w:tc>
        <w:tc>
          <w:tcPr>
            <w:tcW w:type="dxa" w:w="2232"/>
            <w:tcMar>
              <w:top w:w="55" w:type="dxa"/>
              <w:start w:w="70" w:type="dxa"/>
              <w:bottom w:w="55" w:type="dxa"/>
              <w:end w:w="70" w:type="dxa"/>
            </w:tcMar>
            <w:vAlign w:val="top"/>
          </w:tcPr>
          <w:p>
            <w:pPr>
              <w:spacing w:after="10" w:line="240" w:lineRule="auto"/>
            </w:pPr>
            <w:r>
              <w:rPr>
                <w:rFonts w:ascii="Arial" w:hAnsi="Arial"/>
                <w:sz w:val="11"/>
              </w:rPr>
              <w:t>Regulatory precedent, not base-case risk</w:t>
            </w:r>
          </w:p>
        </w:tc>
        <w:tc>
          <w:tcPr>
            <w:tcW w:type="dxa" w:w="864"/>
            <w:tcMar>
              <w:top w:w="55" w:type="dxa"/>
              <w:start w:w="70" w:type="dxa"/>
              <w:bottom w:w="55" w:type="dxa"/>
              <w:end w:w="70" w:type="dxa"/>
            </w:tcMar>
            <w:vAlign w:val="top"/>
          </w:tcPr>
          <w:p>
            <w:pPr>
              <w:spacing w:after="10" w:line="240" w:lineRule="auto"/>
            </w:pPr>
            <w:r>
              <w:rPr>
                <w:rFonts w:ascii="Arial" w:hAnsi="Arial"/>
                <w:sz w:val="11"/>
              </w:rPr>
              <w:t>S19</w:t>
            </w:r>
          </w:p>
        </w:tc>
      </w:tr>
      <w:tr>
        <w:trPr>
          <w:cantSplit/>
        </w:trPr>
        <w:tc>
          <w:tcPr>
            <w:tcW w:type="dxa" w:w="1584"/>
            <w:shd w:fill="F7F7F7"/>
            <w:tcMar>
              <w:top w:w="55" w:type="dxa"/>
              <w:start w:w="70" w:type="dxa"/>
              <w:bottom w:w="55" w:type="dxa"/>
              <w:end w:w="70" w:type="dxa"/>
            </w:tcMar>
            <w:vAlign w:val="top"/>
          </w:tcPr>
          <w:p>
            <w:pPr>
              <w:spacing w:after="10" w:line="240" w:lineRule="auto"/>
            </w:pPr>
            <w:r>
              <w:rPr>
                <w:rFonts w:ascii="Arial" w:hAnsi="Arial"/>
                <w:b/>
                <w:sz w:val="11"/>
              </w:rPr>
              <w:t>Upjohn transfer</w:t>
            </w:r>
          </w:p>
        </w:tc>
        <w:tc>
          <w:tcPr>
            <w:tcW w:type="dxa" w:w="1152"/>
            <w:shd w:fill="F7F7F7"/>
            <w:tcMar>
              <w:top w:w="55" w:type="dxa"/>
              <w:start w:w="70" w:type="dxa"/>
              <w:bottom w:w="55" w:type="dxa"/>
              <w:end w:w="70" w:type="dxa"/>
            </w:tcMar>
            <w:vAlign w:val="top"/>
          </w:tcPr>
          <w:p>
            <w:pPr>
              <w:spacing w:after="10" w:line="240" w:lineRule="auto"/>
            </w:pPr>
            <w:r>
              <w:rPr>
                <w:rFonts w:ascii="Arial" w:hAnsi="Arial"/>
                <w:sz w:val="11"/>
              </w:rPr>
              <w:t>Aug 2022</w:t>
            </w:r>
          </w:p>
        </w:tc>
        <w:tc>
          <w:tcPr>
            <w:tcW w:type="dxa" w:w="2592"/>
            <w:shd w:fill="F7F7F7"/>
            <w:tcMar>
              <w:top w:w="55" w:type="dxa"/>
              <w:start w:w="70" w:type="dxa"/>
              <w:bottom w:w="55" w:type="dxa"/>
              <w:end w:w="70" w:type="dxa"/>
            </w:tcMar>
            <w:vAlign w:val="top"/>
          </w:tcPr>
          <w:p>
            <w:pPr>
              <w:spacing w:after="10" w:line="240" w:lineRule="auto"/>
            </w:pPr>
            <w:r>
              <w:rPr>
                <w:rFonts w:ascii="Arial" w:hAnsi="Arial"/>
                <w:sz w:val="11"/>
              </w:rPr>
              <w:t>Six brands sold to Mylan</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1"/>
              </w:rPr>
              <w:t>₹180.48cr consideration; ₹188.92cr gain</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Completed</w:t>
            </w:r>
          </w:p>
        </w:tc>
        <w:tc>
          <w:tcPr>
            <w:tcW w:type="dxa" w:w="2232"/>
            <w:shd w:fill="F7F7F7"/>
            <w:tcMar>
              <w:top w:w="55" w:type="dxa"/>
              <w:start w:w="70" w:type="dxa"/>
              <w:bottom w:w="55" w:type="dxa"/>
              <w:end w:w="70" w:type="dxa"/>
            </w:tcMar>
            <w:vAlign w:val="top"/>
          </w:tcPr>
          <w:p>
            <w:pPr>
              <w:spacing w:after="10" w:line="240" w:lineRule="auto"/>
            </w:pPr>
            <w:r>
              <w:rPr>
                <w:rFonts w:ascii="Arial" w:hAnsi="Arial"/>
                <w:sz w:val="11"/>
              </w:rPr>
              <w:t>Portfolio can leave listed perimeter</w:t>
            </w:r>
          </w:p>
        </w:tc>
        <w:tc>
          <w:tcPr>
            <w:tcW w:type="dxa" w:w="864"/>
            <w:shd w:fill="F7F7F7"/>
            <w:tcMar>
              <w:top w:w="55" w:type="dxa"/>
              <w:start w:w="70" w:type="dxa"/>
              <w:bottom w:w="55" w:type="dxa"/>
              <w:end w:w="70" w:type="dxa"/>
            </w:tcMar>
            <w:vAlign w:val="top"/>
          </w:tcPr>
          <w:p>
            <w:pPr>
              <w:spacing w:after="10" w:line="240" w:lineRule="auto"/>
            </w:pPr>
            <w:r>
              <w:rPr>
                <w:rFonts w:ascii="Arial" w:hAnsi="Arial"/>
                <w:sz w:val="11"/>
              </w:rPr>
              <w:t>S24-S25</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1"/>
              </w:rPr>
              <w:t>Thane disposals</w:t>
            </w:r>
          </w:p>
        </w:tc>
        <w:tc>
          <w:tcPr>
            <w:tcW w:type="dxa" w:w="1152"/>
            <w:tcMar>
              <w:top w:w="55" w:type="dxa"/>
              <w:start w:w="70" w:type="dxa"/>
              <w:bottom w:w="55" w:type="dxa"/>
              <w:end w:w="70" w:type="dxa"/>
            </w:tcMar>
            <w:vAlign w:val="top"/>
          </w:tcPr>
          <w:p>
            <w:pPr>
              <w:spacing w:after="10" w:line="240" w:lineRule="auto"/>
            </w:pPr>
            <w:r>
              <w:rPr>
                <w:rFonts w:ascii="Arial" w:hAnsi="Arial"/>
                <w:sz w:val="11"/>
              </w:rPr>
              <w:t>FY23/FY25</w:t>
            </w:r>
          </w:p>
        </w:tc>
        <w:tc>
          <w:tcPr>
            <w:tcW w:type="dxa" w:w="2592"/>
            <w:tcMar>
              <w:top w:w="55" w:type="dxa"/>
              <w:start w:w="70" w:type="dxa"/>
              <w:bottom w:w="55" w:type="dxa"/>
              <w:end w:w="70" w:type="dxa"/>
            </w:tcMar>
            <w:vAlign w:val="top"/>
          </w:tcPr>
          <w:p>
            <w:pPr>
              <w:spacing w:after="10" w:line="240" w:lineRule="auto"/>
            </w:pPr>
            <w:r>
              <w:rPr>
                <w:rFonts w:ascii="Arial" w:hAnsi="Arial"/>
                <w:sz w:val="11"/>
              </w:rPr>
              <w:t>Plant/business then land/building sold</w:t>
            </w:r>
          </w:p>
        </w:tc>
        <w:tc>
          <w:tcPr>
            <w:tcW w:type="dxa" w:w="1872"/>
            <w:tcMar>
              <w:top w:w="55" w:type="dxa"/>
              <w:start w:w="70" w:type="dxa"/>
              <w:bottom w:w="55" w:type="dxa"/>
              <w:end w:w="70" w:type="dxa"/>
            </w:tcMar>
            <w:vAlign w:val="top"/>
          </w:tcPr>
          <w:p>
            <w:pPr>
              <w:spacing w:after="10" w:line="240" w:lineRule="auto"/>
            </w:pPr>
            <w:r>
              <w:rPr>
                <w:rFonts w:ascii="Arial" w:hAnsi="Arial"/>
                <w:sz w:val="11"/>
              </w:rPr>
              <w:t>₹67.12cr and ₹172.81cr gains</w:t>
            </w:r>
          </w:p>
        </w:tc>
        <w:tc>
          <w:tcPr>
            <w:tcW w:type="dxa" w:w="1440"/>
            <w:tcMar>
              <w:top w:w="55" w:type="dxa"/>
              <w:start w:w="70" w:type="dxa"/>
              <w:bottom w:w="55" w:type="dxa"/>
              <w:end w:w="70" w:type="dxa"/>
            </w:tcMar>
            <w:vAlign w:val="top"/>
          </w:tcPr>
          <w:p>
            <w:pPr>
              <w:spacing w:after="10" w:line="240" w:lineRule="auto"/>
            </w:pPr>
            <w:r>
              <w:rPr>
                <w:rFonts w:ascii="Arial" w:hAnsi="Arial"/>
                <w:sz w:val="11"/>
              </w:rPr>
              <w:t>Completed</w:t>
            </w:r>
          </w:p>
        </w:tc>
        <w:tc>
          <w:tcPr>
            <w:tcW w:type="dxa" w:w="2232"/>
            <w:tcMar>
              <w:top w:w="55" w:type="dxa"/>
              <w:start w:w="70" w:type="dxa"/>
              <w:bottom w:w="55" w:type="dxa"/>
              <w:end w:w="70" w:type="dxa"/>
            </w:tcMar>
            <w:vAlign w:val="top"/>
          </w:tcPr>
          <w:p>
            <w:pPr>
              <w:spacing w:after="10" w:line="240" w:lineRule="auto"/>
            </w:pPr>
            <w:r>
              <w:rPr>
                <w:rFonts w:ascii="Arial" w:hAnsi="Arial"/>
                <w:sz w:val="11"/>
              </w:rPr>
              <w:t>Do not capitalise one-offs</w:t>
            </w:r>
          </w:p>
        </w:tc>
        <w:tc>
          <w:tcPr>
            <w:tcW w:type="dxa" w:w="864"/>
            <w:tcMar>
              <w:top w:w="55" w:type="dxa"/>
              <w:start w:w="70" w:type="dxa"/>
              <w:bottom w:w="55" w:type="dxa"/>
              <w:end w:w="70" w:type="dxa"/>
            </w:tcMar>
            <w:vAlign w:val="top"/>
          </w:tcPr>
          <w:p>
            <w:pPr>
              <w:spacing w:after="10" w:line="240" w:lineRule="auto"/>
            </w:pPr>
            <w:r>
              <w:rPr>
                <w:rFonts w:ascii="Arial" w:hAnsi="Arial"/>
                <w:sz w:val="11"/>
              </w:rPr>
              <w:t>S23-S25</w:t>
            </w:r>
          </w:p>
        </w:tc>
      </w:tr>
      <w:tr>
        <w:trPr>
          <w:cantSplit/>
        </w:trPr>
        <w:tc>
          <w:tcPr>
            <w:tcW w:type="dxa" w:w="1584"/>
            <w:shd w:fill="F7F7F7"/>
            <w:tcMar>
              <w:top w:w="55" w:type="dxa"/>
              <w:start w:w="70" w:type="dxa"/>
              <w:bottom w:w="55" w:type="dxa"/>
              <w:end w:w="70" w:type="dxa"/>
            </w:tcMar>
            <w:vAlign w:val="top"/>
          </w:tcPr>
          <w:p>
            <w:pPr>
              <w:spacing w:after="10" w:line="240" w:lineRule="auto"/>
            </w:pPr>
            <w:r>
              <w:rPr>
                <w:rFonts w:ascii="Arial" w:hAnsi="Arial"/>
                <w:b/>
                <w:sz w:val="11"/>
              </w:rPr>
              <w:t>Cipla partnership/restructure</w:t>
            </w:r>
          </w:p>
        </w:tc>
        <w:tc>
          <w:tcPr>
            <w:tcW w:type="dxa" w:w="1152"/>
            <w:shd w:fill="F7F7F7"/>
            <w:tcMar>
              <w:top w:w="55" w:type="dxa"/>
              <w:start w:w="70" w:type="dxa"/>
              <w:bottom w:w="55" w:type="dxa"/>
              <w:end w:w="70" w:type="dxa"/>
            </w:tcMar>
            <w:vAlign w:val="top"/>
          </w:tcPr>
          <w:p>
            <w:pPr>
              <w:spacing w:after="10" w:line="240" w:lineRule="auto"/>
            </w:pPr>
            <w:r>
              <w:rPr>
                <w:rFonts w:ascii="Arial" w:hAnsi="Arial"/>
                <w:sz w:val="11"/>
              </w:rPr>
              <w:t>FY26</w:t>
            </w:r>
          </w:p>
        </w:tc>
        <w:tc>
          <w:tcPr>
            <w:tcW w:type="dxa" w:w="2592"/>
            <w:shd w:fill="F7F7F7"/>
            <w:tcMar>
              <w:top w:w="55" w:type="dxa"/>
              <w:start w:w="70" w:type="dxa"/>
              <w:bottom w:w="55" w:type="dxa"/>
              <w:end w:w="70" w:type="dxa"/>
            </w:tcMar>
            <w:vAlign w:val="top"/>
          </w:tcPr>
          <w:p>
            <w:pPr>
              <w:spacing w:after="10" w:line="240" w:lineRule="auto"/>
            </w:pPr>
            <w:r>
              <w:rPr>
                <w:rFonts w:ascii="Arial" w:hAnsi="Arial"/>
                <w:sz w:val="11"/>
              </w:rPr>
              <w:t>Four mature brands outsourced for reach</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1"/>
              </w:rPr>
              <w:t>₹41.73cr separation cost</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Active</w:t>
            </w:r>
          </w:p>
        </w:tc>
        <w:tc>
          <w:tcPr>
            <w:tcW w:type="dxa" w:w="2232"/>
            <w:shd w:fill="F7F7F7"/>
            <w:tcMar>
              <w:top w:w="55" w:type="dxa"/>
              <w:start w:w="70" w:type="dxa"/>
              <w:bottom w:w="55" w:type="dxa"/>
              <w:end w:w="70" w:type="dxa"/>
            </w:tcMar>
            <w:vAlign w:val="top"/>
          </w:tcPr>
          <w:p>
            <w:pPr>
              <w:spacing w:after="10" w:line="240" w:lineRule="auto"/>
            </w:pPr>
            <w:r>
              <w:rPr>
                <w:rFonts w:ascii="Arial" w:hAnsi="Arial"/>
                <w:sz w:val="11"/>
              </w:rPr>
              <w:t>Partner execution versus cost saving</w:t>
            </w:r>
          </w:p>
        </w:tc>
        <w:tc>
          <w:tcPr>
            <w:tcW w:type="dxa" w:w="864"/>
            <w:shd w:fill="F7F7F7"/>
            <w:tcMar>
              <w:top w:w="55" w:type="dxa"/>
              <w:start w:w="70" w:type="dxa"/>
              <w:bottom w:w="55" w:type="dxa"/>
              <w:end w:w="70" w:type="dxa"/>
            </w:tcMar>
            <w:vAlign w:val="top"/>
          </w:tcPr>
          <w:p>
            <w:pPr>
              <w:spacing w:after="10" w:line="240" w:lineRule="auto"/>
            </w:pPr>
            <w:r>
              <w:rPr>
                <w:rFonts w:ascii="Arial" w:hAnsi="Arial"/>
                <w:sz w:val="11"/>
              </w:rPr>
              <w:t>S1</w:t>
            </w:r>
          </w:p>
        </w:tc>
      </w:tr>
      <w:tr>
        <w:trPr>
          <w:cantSplit/>
        </w:trPr>
        <w:tc>
          <w:tcPr>
            <w:tcW w:type="dxa" w:w="1584"/>
            <w:tcMar>
              <w:top w:w="55" w:type="dxa"/>
              <w:start w:w="70" w:type="dxa"/>
              <w:bottom w:w="55" w:type="dxa"/>
              <w:end w:w="70" w:type="dxa"/>
            </w:tcMar>
            <w:vAlign w:val="top"/>
          </w:tcPr>
          <w:p>
            <w:pPr>
              <w:spacing w:after="10" w:line="240" w:lineRule="auto"/>
            </w:pPr>
            <w:r>
              <w:rPr>
                <w:rFonts w:ascii="Arial" w:hAnsi="Arial"/>
                <w:b/>
                <w:sz w:val="11"/>
              </w:rPr>
              <w:t>CFO transition</w:t>
            </w:r>
          </w:p>
        </w:tc>
        <w:tc>
          <w:tcPr>
            <w:tcW w:type="dxa" w:w="1152"/>
            <w:tcMar>
              <w:top w:w="55" w:type="dxa"/>
              <w:start w:w="70" w:type="dxa"/>
              <w:bottom w:w="55" w:type="dxa"/>
              <w:end w:w="70" w:type="dxa"/>
            </w:tcMar>
            <w:vAlign w:val="top"/>
          </w:tcPr>
          <w:p>
            <w:pPr>
              <w:spacing w:after="10" w:line="240" w:lineRule="auto"/>
            </w:pPr>
            <w:r>
              <w:rPr>
                <w:rFonts w:ascii="Arial" w:hAnsi="Arial"/>
                <w:sz w:val="11"/>
              </w:rPr>
              <w:t>Announced 27 Jul 2026</w:t>
            </w:r>
          </w:p>
        </w:tc>
        <w:tc>
          <w:tcPr>
            <w:tcW w:type="dxa" w:w="2592"/>
            <w:tcMar>
              <w:top w:w="55" w:type="dxa"/>
              <w:start w:w="70" w:type="dxa"/>
              <w:bottom w:w="55" w:type="dxa"/>
              <w:end w:w="70" w:type="dxa"/>
            </w:tcMar>
            <w:vAlign w:val="top"/>
          </w:tcPr>
          <w:p>
            <w:pPr>
              <w:spacing w:after="10" w:line="240" w:lineRule="auto"/>
            </w:pPr>
            <w:r>
              <w:rPr>
                <w:rFonts w:ascii="Arial" w:hAnsi="Arial"/>
                <w:sz w:val="11"/>
              </w:rPr>
              <w:t>Amit Agarwal resigns effective 8 Oct 2026</w:t>
            </w:r>
          </w:p>
        </w:tc>
        <w:tc>
          <w:tcPr>
            <w:tcW w:type="dxa" w:w="1872"/>
            <w:tcMar>
              <w:top w:w="55" w:type="dxa"/>
              <w:start w:w="70" w:type="dxa"/>
              <w:bottom w:w="55" w:type="dxa"/>
              <w:end w:w="70" w:type="dxa"/>
            </w:tcMar>
            <w:vAlign w:val="top"/>
          </w:tcPr>
          <w:p>
            <w:pPr>
              <w:spacing w:after="10" w:line="240" w:lineRule="auto"/>
            </w:pPr>
            <w:r>
              <w:rPr>
                <w:rFonts w:ascii="Arial" w:hAnsi="Arial"/>
                <w:sz w:val="11"/>
              </w:rPr>
              <w:t>No direct impact disclosed</w:t>
            </w:r>
          </w:p>
        </w:tc>
        <w:tc>
          <w:tcPr>
            <w:tcW w:type="dxa" w:w="1440"/>
            <w:tcMar>
              <w:top w:w="55" w:type="dxa"/>
              <w:start w:w="70" w:type="dxa"/>
              <w:bottom w:w="55" w:type="dxa"/>
              <w:end w:w="70" w:type="dxa"/>
            </w:tcMar>
            <w:vAlign w:val="top"/>
          </w:tcPr>
          <w:p>
            <w:pPr>
              <w:spacing w:after="10" w:line="240" w:lineRule="auto"/>
            </w:pPr>
            <w:r>
              <w:rPr>
                <w:rFonts w:ascii="Arial" w:hAnsi="Arial"/>
                <w:sz w:val="11"/>
              </w:rPr>
              <w:t>Pending at cut-off</w:t>
            </w:r>
          </w:p>
        </w:tc>
        <w:tc>
          <w:tcPr>
            <w:tcW w:type="dxa" w:w="2232"/>
            <w:tcMar>
              <w:top w:w="55" w:type="dxa"/>
              <w:start w:w="70" w:type="dxa"/>
              <w:bottom w:w="55" w:type="dxa"/>
              <w:end w:w="70" w:type="dxa"/>
            </w:tcMar>
            <w:vAlign w:val="top"/>
          </w:tcPr>
          <w:p>
            <w:pPr>
              <w:spacing w:after="10" w:line="240" w:lineRule="auto"/>
            </w:pPr>
            <w:r>
              <w:rPr>
                <w:rFonts w:ascii="Arial" w:hAnsi="Arial"/>
                <w:sz w:val="11"/>
              </w:rPr>
              <w:t>Succession and continuity watch</w:t>
            </w:r>
          </w:p>
        </w:tc>
        <w:tc>
          <w:tcPr>
            <w:tcW w:type="dxa" w:w="864"/>
            <w:tcMar>
              <w:top w:w="55" w:type="dxa"/>
              <w:start w:w="70" w:type="dxa"/>
              <w:bottom w:w="55" w:type="dxa"/>
              <w:end w:w="70" w:type="dxa"/>
            </w:tcMar>
            <w:vAlign w:val="top"/>
          </w:tcPr>
          <w:p>
            <w:pPr>
              <w:spacing w:after="10" w:line="240" w:lineRule="auto"/>
            </w:pPr>
            <w:r>
              <w:rPr>
                <w:rFonts w:ascii="Arial" w:hAnsi="Arial"/>
                <w:sz w:val="11"/>
              </w:rPr>
              <w:t>S7</w:t>
            </w:r>
          </w:p>
        </w:tc>
      </w:tr>
      <w:tr>
        <w:trPr>
          <w:cantSplit/>
        </w:trPr>
        <w:tc>
          <w:tcPr>
            <w:tcW w:type="dxa" w:w="1584"/>
            <w:shd w:fill="F7F7F7"/>
            <w:tcMar>
              <w:top w:w="55" w:type="dxa"/>
              <w:start w:w="70" w:type="dxa"/>
              <w:bottom w:w="55" w:type="dxa"/>
              <w:end w:w="70" w:type="dxa"/>
            </w:tcMar>
            <w:vAlign w:val="top"/>
          </w:tcPr>
          <w:p>
            <w:pPr>
              <w:spacing w:after="10" w:line="240" w:lineRule="auto"/>
            </w:pPr>
            <w:r>
              <w:rPr>
                <w:rFonts w:ascii="Arial" w:hAnsi="Arial"/>
                <w:b/>
                <w:sz w:val="11"/>
              </w:rPr>
              <w:t>Quality/recall/data integrity</w:t>
            </w:r>
          </w:p>
        </w:tc>
        <w:tc>
          <w:tcPr>
            <w:tcW w:type="dxa" w:w="1152"/>
            <w:shd w:fill="F7F7F7"/>
            <w:tcMar>
              <w:top w:w="55" w:type="dxa"/>
              <w:start w:w="70" w:type="dxa"/>
              <w:bottom w:w="55" w:type="dxa"/>
              <w:end w:w="70" w:type="dxa"/>
            </w:tcMar>
            <w:vAlign w:val="top"/>
          </w:tcPr>
          <w:p>
            <w:pPr>
              <w:spacing w:after="10" w:line="240" w:lineRule="auto"/>
            </w:pPr>
            <w:r>
              <w:rPr>
                <w:rFonts w:ascii="Arial" w:hAnsi="Arial"/>
                <w:sz w:val="11"/>
              </w:rPr>
              <w:t>Review period</w:t>
            </w:r>
          </w:p>
        </w:tc>
        <w:tc>
          <w:tcPr>
            <w:tcW w:type="dxa" w:w="2592"/>
            <w:shd w:fill="F7F7F7"/>
            <w:tcMar>
              <w:top w:w="55" w:type="dxa"/>
              <w:start w:w="70" w:type="dxa"/>
              <w:bottom w:w="55" w:type="dxa"/>
              <w:end w:w="70" w:type="dxa"/>
            </w:tcMar>
            <w:vAlign w:val="top"/>
          </w:tcPr>
          <w:p>
            <w:pPr>
              <w:spacing w:after="10" w:line="240" w:lineRule="auto"/>
            </w:pPr>
            <w:r>
              <w:rPr>
                <w:rFonts w:ascii="Arial" w:hAnsi="Arial"/>
                <w:sz w:val="11"/>
              </w:rPr>
              <w:t>No material India action identified in reviewed evidence</w:t>
            </w:r>
          </w:p>
        </w:tc>
        <w:tc>
          <w:tcPr>
            <w:tcW w:type="dxa" w:w="1872"/>
            <w:shd w:fill="F7F7F7"/>
            <w:tcMar>
              <w:top w:w="55" w:type="dxa"/>
              <w:start w:w="70" w:type="dxa"/>
              <w:bottom w:w="55" w:type="dxa"/>
              <w:end w:w="70" w:type="dxa"/>
            </w:tcMar>
            <w:vAlign w:val="top"/>
          </w:tcPr>
          <w:p>
            <w:pPr>
              <w:spacing w:after="10" w:line="240" w:lineRule="auto"/>
            </w:pPr>
            <w:r>
              <w:rPr>
                <w:rFonts w:ascii="Arial" w:hAnsi="Arial"/>
                <w:sz w:val="11"/>
              </w:rPr>
              <w:t>N/A</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1"/>
              </w:rPr>
              <w:t>Could not independently verify full database sweep</w:t>
            </w:r>
          </w:p>
        </w:tc>
        <w:tc>
          <w:tcPr>
            <w:tcW w:type="dxa" w:w="2232"/>
            <w:shd w:fill="F7F7F7"/>
            <w:tcMar>
              <w:top w:w="55" w:type="dxa"/>
              <w:start w:w="70" w:type="dxa"/>
              <w:bottom w:w="55" w:type="dxa"/>
              <w:end w:w="70" w:type="dxa"/>
            </w:tcMar>
            <w:vAlign w:val="top"/>
          </w:tcPr>
          <w:p>
            <w:pPr>
              <w:spacing w:after="10" w:line="240" w:lineRule="auto"/>
            </w:pPr>
            <w:r>
              <w:rPr>
                <w:rFonts w:ascii="Arial" w:hAnsi="Arial"/>
                <w:sz w:val="11"/>
              </w:rPr>
              <w:t>Evidence gap</w:t>
            </w:r>
          </w:p>
        </w:tc>
        <w:tc>
          <w:tcPr>
            <w:tcW w:type="dxa" w:w="864"/>
            <w:shd w:fill="F7F7F7"/>
            <w:tcMar>
              <w:top w:w="55" w:type="dxa"/>
              <w:start w:w="70" w:type="dxa"/>
              <w:bottom w:w="55" w:type="dxa"/>
              <w:end w:w="70" w:type="dxa"/>
            </w:tcMar>
            <w:vAlign w:val="top"/>
          </w:tcPr>
          <w:p>
            <w:pPr>
              <w:spacing w:after="10" w:line="240" w:lineRule="auto"/>
            </w:pPr>
            <w:r>
              <w:rPr>
                <w:rFonts w:ascii="Arial" w:hAnsi="Arial"/>
                <w:sz w:val="11"/>
              </w:rPr>
              <w:t>CDSCO search needed</w:t>
            </w:r>
          </w:p>
        </w:tc>
      </w:tr>
    </w:tbl>
    <w:p>
      <w:pPr>
        <w:pStyle w:val="ExhibitTitle"/>
      </w:pPr>
      <w:r>
        <w:t>Exhibit 15. The active risks are portfolio control, pricing litigation and supply, not historical Corex headlines</w:t>
      </w:r>
    </w:p>
    <w:p>
      <w:r>
        <w:rPr>
          <w:color w:val="59636E"/>
          <w:sz w:val="15"/>
        </w:rPr>
        <w:t>Historical events matter chiefly because they show how revenue can leave the listed perimeter and how one-offs distort earnings.</w:t>
      </w:r>
    </w:p>
    <w:p>
      <w:pPr>
        <w:pStyle w:val="Source"/>
      </w:pPr>
      <w:r>
        <w:t>Source: Sources shown; full citations in source register.</w:t>
      </w:r>
    </w:p>
    <w:p>
      <w:pPr>
        <w:pStyle w:val="Heading2"/>
      </w:pPr>
      <w:r>
        <w:t>Last three years of decision-useful news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Period</w:t>
            </w:r>
          </w:p>
        </w:tc>
        <w:tc>
          <w:tcPr>
            <w:tcW w:type="dxa" w:w="3528"/>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Item</w:t>
            </w:r>
          </w:p>
        </w:tc>
        <w:tc>
          <w:tcPr>
            <w:tcW w:type="dxa" w:w="1296"/>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Entity effect</w:t>
            </w:r>
          </w:p>
        </w:tc>
        <w:tc>
          <w:tcPr>
            <w:tcW w:type="dxa" w:w="2376"/>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Revenue/margin consequence</w:t>
            </w:r>
          </w:p>
        </w:tc>
        <w:tc>
          <w:tcPr>
            <w:tcW w:type="dxa" w:w="2376"/>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Estimate impact</w:t>
            </w:r>
          </w:p>
        </w:tc>
      </w:tr>
      <w:tr>
        <w:trPr>
          <w:cantSplit/>
        </w:trPr>
        <w:tc>
          <w:tcPr>
            <w:tcW w:type="dxa" w:w="1224"/>
            <w:tcMar>
              <w:top w:w="55" w:type="dxa"/>
              <w:start w:w="70" w:type="dxa"/>
              <w:bottom w:w="55" w:type="dxa"/>
              <w:end w:w="70" w:type="dxa"/>
            </w:tcMar>
            <w:vAlign w:val="top"/>
          </w:tcPr>
          <w:p>
            <w:pPr>
              <w:spacing w:after="10" w:line="240" w:lineRule="auto"/>
            </w:pPr>
            <w:r>
              <w:rPr>
                <w:rFonts w:ascii="Arial" w:hAnsi="Arial"/>
                <w:b/>
                <w:sz w:val="14"/>
              </w:rPr>
              <w:t>FY24-FY25</w:t>
            </w:r>
          </w:p>
        </w:tc>
        <w:tc>
          <w:tcPr>
            <w:tcW w:type="dxa" w:w="3528"/>
            <w:tcMar>
              <w:top w:w="55" w:type="dxa"/>
              <w:start w:w="70" w:type="dxa"/>
              <w:bottom w:w="55" w:type="dxa"/>
              <w:end w:w="70" w:type="dxa"/>
            </w:tcMar>
            <w:vAlign w:val="top"/>
          </w:tcPr>
          <w:p>
            <w:pPr>
              <w:spacing w:after="10" w:line="240" w:lineRule="auto"/>
            </w:pPr>
            <w:r>
              <w:rPr>
                <w:rFonts w:ascii="Arial" w:hAnsi="Arial"/>
                <w:sz w:val="14"/>
              </w:rPr>
              <w:t>Prevenar share strengthened; Eliquis grew after LOE</w:t>
            </w:r>
          </w:p>
        </w:tc>
        <w:tc>
          <w:tcPr>
            <w:tcW w:type="dxa" w:w="1296"/>
            <w:tcMar>
              <w:top w:w="55" w:type="dxa"/>
              <w:start w:w="70" w:type="dxa"/>
              <w:bottom w:w="55" w:type="dxa"/>
              <w:end w:w="70" w:type="dxa"/>
            </w:tcMar>
            <w:vAlign w:val="top"/>
          </w:tcPr>
          <w:p>
            <w:pPr>
              <w:spacing w:after="10" w:line="240" w:lineRule="auto"/>
            </w:pPr>
            <w:r>
              <w:rPr>
                <w:rFonts w:ascii="Arial" w:hAnsi="Arial"/>
                <w:sz w:val="14"/>
              </w:rPr>
              <w:t>Listed</w:t>
            </w:r>
          </w:p>
        </w:tc>
        <w:tc>
          <w:tcPr>
            <w:tcW w:type="dxa" w:w="2376"/>
            <w:tcMar>
              <w:top w:w="55" w:type="dxa"/>
              <w:start w:w="70" w:type="dxa"/>
              <w:bottom w:w="55" w:type="dxa"/>
              <w:end w:w="70" w:type="dxa"/>
            </w:tcMar>
            <w:vAlign w:val="top"/>
          </w:tcPr>
          <w:p>
            <w:pPr>
              <w:spacing w:after="10" w:line="240" w:lineRule="auto"/>
            </w:pPr>
            <w:r>
              <w:rPr>
                <w:rFonts w:ascii="Arial" w:hAnsi="Arial"/>
                <w:sz w:val="14"/>
              </w:rPr>
              <w:t>Positive mix and operating leverage</w:t>
            </w:r>
          </w:p>
        </w:tc>
        <w:tc>
          <w:tcPr>
            <w:tcW w:type="dxa" w:w="2376"/>
            <w:tcMar>
              <w:top w:w="55" w:type="dxa"/>
              <w:start w:w="70" w:type="dxa"/>
              <w:bottom w:w="55" w:type="dxa"/>
              <w:end w:w="70" w:type="dxa"/>
            </w:tcMar>
            <w:vAlign w:val="top"/>
          </w:tcPr>
          <w:p>
            <w:pPr>
              <w:spacing w:after="10" w:line="240" w:lineRule="auto"/>
            </w:pPr>
            <w:r>
              <w:rPr>
                <w:rFonts w:ascii="Arial" w:hAnsi="Arial"/>
                <w:sz w:val="14"/>
              </w:rPr>
              <w:t>Yes: raised core growth confidence</w:t>
            </w:r>
          </w:p>
        </w:tc>
      </w:tr>
      <w:tr>
        <w:trPr>
          <w:cantSplit/>
        </w:trPr>
        <w:tc>
          <w:tcPr>
            <w:tcW w:type="dxa" w:w="1224"/>
            <w:shd w:fill="F7F7F7"/>
            <w:tcMar>
              <w:top w:w="55" w:type="dxa"/>
              <w:start w:w="70" w:type="dxa"/>
              <w:bottom w:w="55" w:type="dxa"/>
              <w:end w:w="70" w:type="dxa"/>
            </w:tcMar>
            <w:vAlign w:val="top"/>
          </w:tcPr>
          <w:p>
            <w:pPr>
              <w:spacing w:after="10" w:line="240" w:lineRule="auto"/>
            </w:pPr>
            <w:r>
              <w:rPr>
                <w:rFonts w:ascii="Arial" w:hAnsi="Arial"/>
                <w:b/>
                <w:sz w:val="14"/>
              </w:rPr>
              <w:t>FY25</w:t>
            </w:r>
          </w:p>
        </w:tc>
        <w:tc>
          <w:tcPr>
            <w:tcW w:type="dxa" w:w="3528"/>
            <w:shd w:fill="F7F7F7"/>
            <w:tcMar>
              <w:top w:w="55" w:type="dxa"/>
              <w:start w:w="70" w:type="dxa"/>
              <w:bottom w:w="55" w:type="dxa"/>
              <w:end w:w="70" w:type="dxa"/>
            </w:tcMar>
            <w:vAlign w:val="top"/>
          </w:tcPr>
          <w:p>
            <w:pPr>
              <w:spacing w:after="10" w:line="240" w:lineRule="auto"/>
            </w:pPr>
            <w:r>
              <w:rPr>
                <w:rFonts w:ascii="Arial" w:hAnsi="Arial"/>
                <w:sz w:val="14"/>
              </w:rPr>
              <w:t>Thane property gain and ₹130/share special dividends within total ₹165/share</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4"/>
              </w:rPr>
              <w:t>Listed</w:t>
            </w:r>
          </w:p>
        </w:tc>
        <w:tc>
          <w:tcPr>
            <w:tcW w:type="dxa" w:w="2376"/>
            <w:shd w:fill="F7F7F7"/>
            <w:tcMar>
              <w:top w:w="55" w:type="dxa"/>
              <w:start w:w="70" w:type="dxa"/>
              <w:bottom w:w="55" w:type="dxa"/>
              <w:end w:w="70" w:type="dxa"/>
            </w:tcMar>
            <w:vAlign w:val="top"/>
          </w:tcPr>
          <w:p>
            <w:pPr>
              <w:spacing w:after="10" w:line="240" w:lineRule="auto"/>
            </w:pPr>
            <w:r>
              <w:rPr>
                <w:rFonts w:ascii="Arial" w:hAnsi="Arial"/>
                <w:sz w:val="14"/>
              </w:rPr>
              <w:t>Cash return, no recurring earnings</w:t>
            </w:r>
          </w:p>
        </w:tc>
        <w:tc>
          <w:tcPr>
            <w:tcW w:type="dxa" w:w="2376"/>
            <w:shd w:fill="F7F7F7"/>
            <w:tcMar>
              <w:top w:w="55" w:type="dxa"/>
              <w:start w:w="70" w:type="dxa"/>
              <w:bottom w:w="55" w:type="dxa"/>
              <w:end w:w="70" w:type="dxa"/>
            </w:tcMar>
            <w:vAlign w:val="top"/>
          </w:tcPr>
          <w:p>
            <w:pPr>
              <w:spacing w:after="10" w:line="240" w:lineRule="auto"/>
            </w:pPr>
            <w:r>
              <w:rPr>
                <w:rFonts w:ascii="Arial" w:hAnsi="Arial"/>
                <w:sz w:val="14"/>
              </w:rPr>
              <w:t>No core estimate change</w:t>
            </w:r>
          </w:p>
        </w:tc>
      </w:tr>
      <w:tr>
        <w:trPr>
          <w:cantSplit/>
        </w:trPr>
        <w:tc>
          <w:tcPr>
            <w:tcW w:type="dxa" w:w="1224"/>
            <w:tcMar>
              <w:top w:w="55" w:type="dxa"/>
              <w:start w:w="70" w:type="dxa"/>
              <w:bottom w:w="55" w:type="dxa"/>
              <w:end w:w="70" w:type="dxa"/>
            </w:tcMar>
            <w:vAlign w:val="top"/>
          </w:tcPr>
          <w:p>
            <w:pPr>
              <w:spacing w:after="10" w:line="240" w:lineRule="auto"/>
            </w:pPr>
            <w:r>
              <w:rPr>
                <w:rFonts w:ascii="Arial" w:hAnsi="Arial"/>
                <w:b/>
                <w:sz w:val="14"/>
              </w:rPr>
              <w:t>Aug 2025</w:t>
            </w:r>
          </w:p>
        </w:tc>
        <w:tc>
          <w:tcPr>
            <w:tcW w:type="dxa" w:w="3528"/>
            <w:tcMar>
              <w:top w:w="55" w:type="dxa"/>
              <w:start w:w="70" w:type="dxa"/>
              <w:bottom w:w="55" w:type="dxa"/>
              <w:end w:w="70" w:type="dxa"/>
            </w:tcMar>
            <w:vAlign w:val="top"/>
          </w:tcPr>
          <w:p>
            <w:pPr>
              <w:spacing w:after="10" w:line="240" w:lineRule="auto"/>
            </w:pPr>
            <w:r>
              <w:rPr>
                <w:rFonts w:ascii="Arial" w:hAnsi="Arial"/>
                <w:sz w:val="14"/>
              </w:rPr>
              <w:t>Prevenar 20 launched</w:t>
            </w:r>
          </w:p>
        </w:tc>
        <w:tc>
          <w:tcPr>
            <w:tcW w:type="dxa" w:w="1296"/>
            <w:tcMar>
              <w:top w:w="55" w:type="dxa"/>
              <w:start w:w="70" w:type="dxa"/>
              <w:bottom w:w="55" w:type="dxa"/>
              <w:end w:w="70" w:type="dxa"/>
            </w:tcMar>
            <w:vAlign w:val="top"/>
          </w:tcPr>
          <w:p>
            <w:pPr>
              <w:spacing w:after="10" w:line="240" w:lineRule="auto"/>
            </w:pPr>
            <w:r>
              <w:rPr>
                <w:rFonts w:ascii="Arial" w:hAnsi="Arial"/>
                <w:sz w:val="14"/>
              </w:rPr>
              <w:t>Listed</w:t>
            </w:r>
          </w:p>
        </w:tc>
        <w:tc>
          <w:tcPr>
            <w:tcW w:type="dxa" w:w="2376"/>
            <w:tcMar>
              <w:top w:w="55" w:type="dxa"/>
              <w:start w:w="70" w:type="dxa"/>
              <w:bottom w:w="55" w:type="dxa"/>
              <w:end w:w="70" w:type="dxa"/>
            </w:tcMar>
            <w:vAlign w:val="top"/>
          </w:tcPr>
          <w:p>
            <w:pPr>
              <w:spacing w:after="10" w:line="240" w:lineRule="auto"/>
            </w:pPr>
            <w:r>
              <w:rPr>
                <w:rFonts w:ascii="Arial" w:hAnsi="Arial"/>
                <w:sz w:val="14"/>
              </w:rPr>
              <w:t>Adult vaccine growth</w:t>
            </w:r>
          </w:p>
        </w:tc>
        <w:tc>
          <w:tcPr>
            <w:tcW w:type="dxa" w:w="2376"/>
            <w:tcMar>
              <w:top w:w="55" w:type="dxa"/>
              <w:start w:w="70" w:type="dxa"/>
              <w:bottom w:w="55" w:type="dxa"/>
              <w:end w:w="70" w:type="dxa"/>
            </w:tcMar>
            <w:vAlign w:val="top"/>
          </w:tcPr>
          <w:p>
            <w:pPr>
              <w:spacing w:after="10" w:line="240" w:lineRule="auto"/>
            </w:pPr>
            <w:r>
              <w:rPr>
                <w:rFonts w:ascii="Arial" w:hAnsi="Arial"/>
                <w:sz w:val="14"/>
              </w:rPr>
              <w:t>Yes: vaccine estimates increased</w:t>
            </w:r>
          </w:p>
        </w:tc>
      </w:tr>
      <w:tr>
        <w:trPr>
          <w:cantSplit/>
        </w:trPr>
        <w:tc>
          <w:tcPr>
            <w:tcW w:type="dxa" w:w="1224"/>
            <w:shd w:fill="F7F7F7"/>
            <w:tcMar>
              <w:top w:w="55" w:type="dxa"/>
              <w:start w:w="70" w:type="dxa"/>
              <w:bottom w:w="55" w:type="dxa"/>
              <w:end w:w="70" w:type="dxa"/>
            </w:tcMar>
            <w:vAlign w:val="top"/>
          </w:tcPr>
          <w:p>
            <w:pPr>
              <w:spacing w:after="10" w:line="240" w:lineRule="auto"/>
            </w:pPr>
            <w:r>
              <w:rPr>
                <w:rFonts w:ascii="Arial" w:hAnsi="Arial"/>
                <w:b/>
                <w:sz w:val="14"/>
              </w:rPr>
              <w:t>FY26</w:t>
            </w:r>
          </w:p>
        </w:tc>
        <w:tc>
          <w:tcPr>
            <w:tcW w:type="dxa" w:w="3528"/>
            <w:shd w:fill="F7F7F7"/>
            <w:tcMar>
              <w:top w:w="55" w:type="dxa"/>
              <w:start w:w="70" w:type="dxa"/>
              <w:bottom w:w="55" w:type="dxa"/>
              <w:end w:w="70" w:type="dxa"/>
            </w:tcMar>
            <w:vAlign w:val="top"/>
          </w:tcPr>
          <w:p>
            <w:pPr>
              <w:spacing w:after="10" w:line="240" w:lineRule="auto"/>
            </w:pPr>
            <w:r>
              <w:rPr>
                <w:rFonts w:ascii="Arial" w:hAnsi="Arial"/>
                <w:sz w:val="14"/>
              </w:rPr>
              <w:t>Nurtec and Emblaveo launched; Cipla partnership signed</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4"/>
              </w:rPr>
              <w:t>Listed</w:t>
            </w:r>
          </w:p>
        </w:tc>
        <w:tc>
          <w:tcPr>
            <w:tcW w:type="dxa" w:w="2376"/>
            <w:shd w:fill="F7F7F7"/>
            <w:tcMar>
              <w:top w:w="55" w:type="dxa"/>
              <w:start w:w="70" w:type="dxa"/>
              <w:bottom w:w="55" w:type="dxa"/>
              <w:end w:w="70" w:type="dxa"/>
            </w:tcMar>
            <w:vAlign w:val="top"/>
          </w:tcPr>
          <w:p>
            <w:pPr>
              <w:spacing w:after="10" w:line="240" w:lineRule="auto"/>
            </w:pPr>
            <w:r>
              <w:rPr>
                <w:rFonts w:ascii="Arial" w:hAnsi="Arial"/>
                <w:sz w:val="14"/>
              </w:rPr>
              <w:t>Adds innovation; restructures mature portfolio</w:t>
            </w:r>
          </w:p>
        </w:tc>
        <w:tc>
          <w:tcPr>
            <w:tcW w:type="dxa" w:w="2376"/>
            <w:shd w:fill="F7F7F7"/>
            <w:tcMar>
              <w:top w:w="55" w:type="dxa"/>
              <w:start w:w="70" w:type="dxa"/>
              <w:bottom w:w="55" w:type="dxa"/>
              <w:end w:w="70" w:type="dxa"/>
            </w:tcMar>
            <w:vAlign w:val="top"/>
          </w:tcPr>
          <w:p>
            <w:pPr>
              <w:spacing w:after="10" w:line="240" w:lineRule="auto"/>
            </w:pPr>
            <w:r>
              <w:rPr>
                <w:rFonts w:ascii="Arial" w:hAnsi="Arial"/>
                <w:sz w:val="14"/>
              </w:rPr>
              <w:t>Yes: launch revenue, margin held</w:t>
            </w:r>
          </w:p>
        </w:tc>
      </w:tr>
      <w:tr>
        <w:trPr>
          <w:cantSplit/>
        </w:trPr>
        <w:tc>
          <w:tcPr>
            <w:tcW w:type="dxa" w:w="1224"/>
            <w:tcMar>
              <w:top w:w="55" w:type="dxa"/>
              <w:start w:w="70" w:type="dxa"/>
              <w:bottom w:w="55" w:type="dxa"/>
              <w:end w:w="70" w:type="dxa"/>
            </w:tcMar>
            <w:vAlign w:val="top"/>
          </w:tcPr>
          <w:p>
            <w:pPr>
              <w:spacing w:after="10" w:line="240" w:lineRule="auto"/>
            </w:pPr>
            <w:r>
              <w:rPr>
                <w:rFonts w:ascii="Arial" w:hAnsi="Arial"/>
                <w:b/>
                <w:sz w:val="14"/>
              </w:rPr>
              <w:t>Jul 2026</w:t>
            </w:r>
          </w:p>
        </w:tc>
        <w:tc>
          <w:tcPr>
            <w:tcW w:type="dxa" w:w="3528"/>
            <w:tcMar>
              <w:top w:w="55" w:type="dxa"/>
              <w:start w:w="70" w:type="dxa"/>
              <w:bottom w:w="55" w:type="dxa"/>
              <w:end w:w="70" w:type="dxa"/>
            </w:tcMar>
            <w:vAlign w:val="top"/>
          </w:tcPr>
          <w:p>
            <w:pPr>
              <w:spacing w:after="10" w:line="240" w:lineRule="auto"/>
            </w:pPr>
            <w:r>
              <w:rPr>
                <w:rFonts w:ascii="Arial" w:hAnsi="Arial"/>
                <w:sz w:val="14"/>
              </w:rPr>
              <w:t>Premarin cream temporary supply issue</w:t>
            </w:r>
          </w:p>
        </w:tc>
        <w:tc>
          <w:tcPr>
            <w:tcW w:type="dxa" w:w="1296"/>
            <w:tcMar>
              <w:top w:w="55" w:type="dxa"/>
              <w:start w:w="70" w:type="dxa"/>
              <w:bottom w:w="55" w:type="dxa"/>
              <w:end w:w="70" w:type="dxa"/>
            </w:tcMar>
            <w:vAlign w:val="top"/>
          </w:tcPr>
          <w:p>
            <w:pPr>
              <w:spacing w:after="10" w:line="240" w:lineRule="auto"/>
            </w:pPr>
            <w:r>
              <w:rPr>
                <w:rFonts w:ascii="Arial" w:hAnsi="Arial"/>
                <w:sz w:val="14"/>
              </w:rPr>
              <w:t>Listed</w:t>
            </w:r>
          </w:p>
        </w:tc>
        <w:tc>
          <w:tcPr>
            <w:tcW w:type="dxa" w:w="2376"/>
            <w:tcMar>
              <w:top w:w="55" w:type="dxa"/>
              <w:start w:w="70" w:type="dxa"/>
              <w:bottom w:w="55" w:type="dxa"/>
              <w:end w:w="70" w:type="dxa"/>
            </w:tcMar>
            <w:vAlign w:val="top"/>
          </w:tcPr>
          <w:p>
            <w:pPr>
              <w:spacing w:after="10" w:line="240" w:lineRule="auto"/>
            </w:pPr>
            <w:r>
              <w:rPr>
                <w:rFonts w:ascii="Arial" w:hAnsi="Arial"/>
                <w:sz w:val="14"/>
              </w:rPr>
              <w:t>&lt;1% revenue</w:t>
            </w:r>
          </w:p>
        </w:tc>
        <w:tc>
          <w:tcPr>
            <w:tcW w:type="dxa" w:w="2376"/>
            <w:tcMar>
              <w:top w:w="55" w:type="dxa"/>
              <w:start w:w="70" w:type="dxa"/>
              <w:bottom w:w="55" w:type="dxa"/>
              <w:end w:w="70" w:type="dxa"/>
            </w:tcMar>
            <w:vAlign w:val="top"/>
          </w:tcPr>
          <w:p>
            <w:pPr>
              <w:spacing w:after="10" w:line="240" w:lineRule="auto"/>
            </w:pPr>
            <w:r>
              <w:rPr>
                <w:rFonts w:ascii="Arial" w:hAnsi="Arial"/>
                <w:sz w:val="14"/>
              </w:rPr>
              <w:t>No material estimate change</w:t>
            </w:r>
          </w:p>
        </w:tc>
      </w:tr>
      <w:tr>
        <w:trPr>
          <w:cantSplit/>
        </w:trPr>
        <w:tc>
          <w:tcPr>
            <w:tcW w:type="dxa" w:w="1224"/>
            <w:shd w:fill="F7F7F7"/>
            <w:tcMar>
              <w:top w:w="55" w:type="dxa"/>
              <w:start w:w="70" w:type="dxa"/>
              <w:bottom w:w="55" w:type="dxa"/>
              <w:end w:w="70" w:type="dxa"/>
            </w:tcMar>
            <w:vAlign w:val="top"/>
          </w:tcPr>
          <w:p>
            <w:pPr>
              <w:spacing w:after="10" w:line="240" w:lineRule="auto"/>
            </w:pPr>
            <w:r>
              <w:rPr>
                <w:rFonts w:ascii="Arial" w:hAnsi="Arial"/>
                <w:b/>
                <w:sz w:val="14"/>
              </w:rPr>
              <w:t>Jul 2026</w:t>
            </w:r>
          </w:p>
        </w:tc>
        <w:tc>
          <w:tcPr>
            <w:tcW w:type="dxa" w:w="3528"/>
            <w:shd w:fill="F7F7F7"/>
            <w:tcMar>
              <w:top w:w="55" w:type="dxa"/>
              <w:start w:w="70" w:type="dxa"/>
              <w:bottom w:w="55" w:type="dxa"/>
              <w:end w:w="70" w:type="dxa"/>
            </w:tcMar>
            <w:vAlign w:val="top"/>
          </w:tcPr>
          <w:p>
            <w:pPr>
              <w:spacing w:after="10" w:line="240" w:lineRule="auto"/>
            </w:pPr>
            <w:r>
              <w:rPr>
                <w:rFonts w:ascii="Arial" w:hAnsi="Arial"/>
                <w:sz w:val="14"/>
              </w:rPr>
              <w:t>CFO resignation announced</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4"/>
              </w:rPr>
              <w:t>Listed</w:t>
            </w:r>
          </w:p>
        </w:tc>
        <w:tc>
          <w:tcPr>
            <w:tcW w:type="dxa" w:w="2376"/>
            <w:shd w:fill="F7F7F7"/>
            <w:tcMar>
              <w:top w:w="55" w:type="dxa"/>
              <w:start w:w="70" w:type="dxa"/>
              <w:bottom w:w="55" w:type="dxa"/>
              <w:end w:w="70" w:type="dxa"/>
            </w:tcMar>
            <w:vAlign w:val="top"/>
          </w:tcPr>
          <w:p>
            <w:pPr>
              <w:spacing w:after="10" w:line="240" w:lineRule="auto"/>
            </w:pPr>
            <w:r>
              <w:rPr>
                <w:rFonts w:ascii="Arial" w:hAnsi="Arial"/>
                <w:sz w:val="14"/>
              </w:rPr>
              <w:t>No immediate P&amp;L effect</w:t>
            </w:r>
          </w:p>
        </w:tc>
        <w:tc>
          <w:tcPr>
            <w:tcW w:type="dxa" w:w="2376"/>
            <w:shd w:fill="F7F7F7"/>
            <w:tcMar>
              <w:top w:w="55" w:type="dxa"/>
              <w:start w:w="70" w:type="dxa"/>
              <w:bottom w:w="55" w:type="dxa"/>
              <w:end w:w="70" w:type="dxa"/>
            </w:tcMar>
            <w:vAlign w:val="top"/>
          </w:tcPr>
          <w:p>
            <w:pPr>
              <w:spacing w:after="10" w:line="240" w:lineRule="auto"/>
            </w:pPr>
            <w:r>
              <w:rPr>
                <w:rFonts w:ascii="Arial" w:hAnsi="Arial"/>
                <w:sz w:val="14"/>
              </w:rPr>
              <w:t>Governance watch only</w:t>
            </w:r>
          </w:p>
        </w:tc>
      </w:tr>
      <w:tr>
        <w:trPr>
          <w:cantSplit/>
        </w:trPr>
        <w:tc>
          <w:tcPr>
            <w:tcW w:type="dxa" w:w="1224"/>
            <w:tcMar>
              <w:top w:w="55" w:type="dxa"/>
              <w:start w:w="70" w:type="dxa"/>
              <w:bottom w:w="55" w:type="dxa"/>
              <w:end w:w="70" w:type="dxa"/>
            </w:tcMar>
            <w:vAlign w:val="top"/>
          </w:tcPr>
          <w:p>
            <w:pPr>
              <w:spacing w:after="10" w:line="240" w:lineRule="auto"/>
            </w:pPr>
            <w:r>
              <w:rPr>
                <w:rFonts w:ascii="Arial" w:hAnsi="Arial"/>
                <w:b/>
                <w:sz w:val="14"/>
              </w:rPr>
              <w:t>Sep 2026</w:t>
            </w:r>
          </w:p>
        </w:tc>
        <w:tc>
          <w:tcPr>
            <w:tcW w:type="dxa" w:w="3528"/>
            <w:tcMar>
              <w:top w:w="55" w:type="dxa"/>
              <w:start w:w="70" w:type="dxa"/>
              <w:bottom w:w="55" w:type="dxa"/>
              <w:end w:w="70" w:type="dxa"/>
            </w:tcMar>
            <w:vAlign w:val="top"/>
          </w:tcPr>
          <w:p>
            <w:pPr>
              <w:spacing w:after="10" w:line="240" w:lineRule="auto"/>
            </w:pPr>
            <w:r>
              <w:rPr>
                <w:rFonts w:ascii="Arial" w:hAnsi="Arial"/>
                <w:sz w:val="14"/>
              </w:rPr>
              <w:t>Minipress discontinued for US$13.9m compensation</w:t>
            </w:r>
          </w:p>
        </w:tc>
        <w:tc>
          <w:tcPr>
            <w:tcW w:type="dxa" w:w="1296"/>
            <w:tcMar>
              <w:top w:w="55" w:type="dxa"/>
              <w:start w:w="70" w:type="dxa"/>
              <w:bottom w:w="55" w:type="dxa"/>
              <w:end w:w="70" w:type="dxa"/>
            </w:tcMar>
            <w:vAlign w:val="top"/>
          </w:tcPr>
          <w:p>
            <w:pPr>
              <w:spacing w:after="10" w:line="240" w:lineRule="auto"/>
            </w:pPr>
            <w:r>
              <w:rPr>
                <w:rFonts w:ascii="Arial" w:hAnsi="Arial"/>
                <w:sz w:val="14"/>
              </w:rPr>
              <w:t>Listed</w:t>
            </w:r>
          </w:p>
        </w:tc>
        <w:tc>
          <w:tcPr>
            <w:tcW w:type="dxa" w:w="2376"/>
            <w:tcMar>
              <w:top w:w="55" w:type="dxa"/>
              <w:start w:w="70" w:type="dxa"/>
              <w:bottom w:w="55" w:type="dxa"/>
              <w:end w:w="70" w:type="dxa"/>
            </w:tcMar>
            <w:vAlign w:val="top"/>
          </w:tcPr>
          <w:p>
            <w:pPr>
              <w:spacing w:after="10" w:line="240" w:lineRule="auto"/>
            </w:pPr>
            <w:r>
              <w:rPr>
                <w:rFonts w:ascii="Arial" w:hAnsi="Arial"/>
                <w:sz w:val="14"/>
              </w:rPr>
              <w:t>Core revenue loss; one-off gain</w:t>
            </w:r>
          </w:p>
        </w:tc>
        <w:tc>
          <w:tcPr>
            <w:tcW w:type="dxa" w:w="2376"/>
            <w:tcMar>
              <w:top w:w="55" w:type="dxa"/>
              <w:start w:w="70" w:type="dxa"/>
              <w:bottom w:w="55" w:type="dxa"/>
              <w:end w:w="70" w:type="dxa"/>
            </w:tcMar>
            <w:vAlign w:val="top"/>
          </w:tcPr>
          <w:p>
            <w:pPr>
              <w:spacing w:after="10" w:line="240" w:lineRule="auto"/>
            </w:pPr>
            <w:r>
              <w:rPr>
                <w:rFonts w:ascii="Arial" w:hAnsi="Arial"/>
                <w:sz w:val="14"/>
              </w:rPr>
              <w:t>Yes: lower FY28 base, higher FY27 reported EPS</w:t>
            </w:r>
          </w:p>
        </w:tc>
      </w:tr>
    </w:tbl>
    <w:p>
      <w:pPr>
        <w:pStyle w:val="Source"/>
      </w:pPr>
      <w:r>
        <w:t>Source: Pfizer filings and annual reports [S1, S5-S7, S23]. Global Pfizer news without listed-company evidence was excluded.</w:t>
      </w:r>
    </w:p>
    <w:p>
      <w:pPr>
        <w:pStyle w:val="Heading1"/>
      </w:pPr>
      <w:r>
        <w:t>PART VIII: Management, capital allocation and governance</w:t>
      </w:r>
    </w:p>
    <w:p>
      <w:pPr>
        <w:pStyle w:val="Heading2"/>
      </w:pPr>
      <w:r>
        <w:t>Management assessment</w:t>
      </w:r>
    </w:p>
    <w:p>
      <w:r>
        <w:t>Managing Director Meenakshi Nevatia took the role in April 2023 after senior operating roles in healthcare and consumer businesses. Execution since then is strong on margin, partner-led reach and launches: Prevenar 20, Nurtec and Emblaveo were launched, Eliquis accelerated, and core PBT grew 21.5% in FY26. The harder test is durability after restructuring and Minipress. [S1, pp. 26-29, 48-57]</w:t>
      </w:r>
    </w:p>
    <w:p>
      <w:r>
        <w:t>Amit Agarwal joined as Executive Director Finance and CFO in February 2024 and has resigned effective 8 October 2026 to pursue an external opportunity. As of the 17 September cut-off he remained in role. The company had not announced a successor in the reviewed evidence. The change is not thesis-breaking, but it coincides with a period when investors need clearer disclosure on product allocation and cash. [S7]</w:t>
      </w:r>
    </w:p>
    <w:p>
      <w:r>
        <w:t>The board has independent directors and formal related-party oversight, but legal independence is not the same as economic protection. No director or management shareholding creates material alignment. The governance test is disclosure: product-allocation policy, private-affiliate economics, transfer-pricing logic and capital-allocation thresholds are not sufficiently explicit for a listed subsidiary with this perimeter.</w:t>
      </w:r>
    </w:p>
    <w:p>
      <w:pPr>
        <w:pStyle w:val="Heading2"/>
      </w:pPr>
      <w:r>
        <w:t>Capital allocation: high payout, then rapid cash rebuild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Item</w:t>
            </w:r>
          </w:p>
        </w:tc>
        <w:tc>
          <w:tcPr>
            <w:tcW w:type="dxa" w:w="2016"/>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Amount</w:t>
            </w:r>
          </w:p>
        </w:tc>
        <w:tc>
          <w:tcPr>
            <w:tcW w:type="dxa" w:w="5616"/>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Interpretation</w:t>
            </w:r>
          </w:p>
        </w:tc>
      </w:tr>
      <w:tr>
        <w:trPr>
          <w:cantSplit/>
        </w:trPr>
        <w:tc>
          <w:tcPr>
            <w:tcW w:type="dxa" w:w="3024"/>
            <w:tcMar>
              <w:top w:w="55" w:type="dxa"/>
              <w:start w:w="70" w:type="dxa"/>
              <w:bottom w:w="55" w:type="dxa"/>
              <w:end w:w="70" w:type="dxa"/>
            </w:tcMar>
            <w:vAlign w:val="top"/>
          </w:tcPr>
          <w:p>
            <w:pPr>
              <w:spacing w:after="10" w:line="240" w:lineRule="auto"/>
            </w:pPr>
            <w:r>
              <w:rPr>
                <w:rFonts w:ascii="Arial" w:hAnsi="Arial"/>
                <w:b/>
                <w:sz w:val="15"/>
              </w:rPr>
              <w:t>FY21 cash dividend paid</w:t>
            </w:r>
          </w:p>
        </w:tc>
        <w:tc>
          <w:tcPr>
            <w:tcW w:type="dxa" w:w="2016"/>
            <w:tcMar>
              <w:top w:w="55" w:type="dxa"/>
              <w:start w:w="70" w:type="dxa"/>
              <w:bottom w:w="55" w:type="dxa"/>
              <w:end w:w="70" w:type="dxa"/>
            </w:tcMar>
            <w:vAlign w:val="top"/>
          </w:tcPr>
          <w:p>
            <w:pPr>
              <w:spacing w:after="10" w:line="240" w:lineRule="auto"/>
            </w:pPr>
            <w:r>
              <w:rPr>
                <w:rFonts w:ascii="Arial" w:hAnsi="Arial"/>
                <w:sz w:val="15"/>
              </w:rPr>
              <w:t>₹1,519cr</w:t>
            </w:r>
          </w:p>
        </w:tc>
        <w:tc>
          <w:tcPr>
            <w:tcW w:type="dxa" w:w="5616"/>
            <w:tcMar>
              <w:top w:w="55" w:type="dxa"/>
              <w:start w:w="70" w:type="dxa"/>
              <w:bottom w:w="55" w:type="dxa"/>
              <w:end w:w="70" w:type="dxa"/>
            </w:tcMar>
            <w:vAlign w:val="top"/>
          </w:tcPr>
          <w:p>
            <w:pPr>
              <w:spacing w:after="10" w:line="240" w:lineRule="auto"/>
            </w:pPr>
            <w:r>
              <w:rPr>
                <w:rFonts w:ascii="Arial" w:hAnsi="Arial"/>
                <w:sz w:val="15"/>
              </w:rPr>
              <w:t>Included exceptional ₹320/share special dividend; depleted cash</w:t>
            </w:r>
          </w:p>
        </w:tc>
      </w:tr>
      <w:tr>
        <w:trPr>
          <w:cantSplit/>
        </w:trPr>
        <w:tc>
          <w:tcPr>
            <w:tcW w:type="dxa" w:w="3024"/>
            <w:shd w:fill="F7F7F7"/>
            <w:tcMar>
              <w:top w:w="55" w:type="dxa"/>
              <w:start w:w="70" w:type="dxa"/>
              <w:bottom w:w="55" w:type="dxa"/>
              <w:end w:w="70" w:type="dxa"/>
            </w:tcMar>
            <w:vAlign w:val="top"/>
          </w:tcPr>
          <w:p>
            <w:pPr>
              <w:spacing w:after="10" w:line="240" w:lineRule="auto"/>
            </w:pPr>
            <w:r>
              <w:rPr>
                <w:rFonts w:ascii="Arial" w:hAnsi="Arial"/>
                <w:b/>
                <w:sz w:val="15"/>
              </w:rPr>
              <w:t>FY23 dividend paid</w:t>
            </w:r>
          </w:p>
        </w:tc>
        <w:tc>
          <w:tcPr>
            <w:tcW w:type="dxa" w:w="2016"/>
            <w:shd w:fill="F7F7F7"/>
            <w:tcMar>
              <w:top w:w="55" w:type="dxa"/>
              <w:start w:w="70" w:type="dxa"/>
              <w:bottom w:w="55" w:type="dxa"/>
              <w:end w:w="70" w:type="dxa"/>
            </w:tcMar>
            <w:vAlign w:val="top"/>
          </w:tcPr>
          <w:p>
            <w:pPr>
              <w:spacing w:after="10" w:line="240" w:lineRule="auto"/>
            </w:pPr>
            <w:r>
              <w:rPr>
                <w:rFonts w:ascii="Arial" w:hAnsi="Arial"/>
                <w:sz w:val="15"/>
              </w:rPr>
              <w:t>₹297cr</w:t>
            </w:r>
          </w:p>
        </w:tc>
        <w:tc>
          <w:tcPr>
            <w:tcW w:type="dxa" w:w="5616"/>
            <w:shd w:fill="F7F7F7"/>
            <w:tcMar>
              <w:top w:w="55" w:type="dxa"/>
              <w:start w:w="70" w:type="dxa"/>
              <w:bottom w:w="55" w:type="dxa"/>
              <w:end w:w="70" w:type="dxa"/>
            </w:tcMar>
            <w:vAlign w:val="top"/>
          </w:tcPr>
          <w:p>
            <w:pPr>
              <w:spacing w:after="10" w:line="240" w:lineRule="auto"/>
            </w:pPr>
            <w:r>
              <w:rPr>
                <w:rFonts w:ascii="Arial" w:hAnsi="Arial"/>
                <w:sz w:val="15"/>
              </w:rPr>
              <w:t>Normal and special distributions</w:t>
            </w:r>
          </w:p>
        </w:tc>
      </w:tr>
      <w:tr>
        <w:trPr>
          <w:cantSplit/>
        </w:trPr>
        <w:tc>
          <w:tcPr>
            <w:tcW w:type="dxa" w:w="3024"/>
            <w:tcMar>
              <w:top w:w="55" w:type="dxa"/>
              <w:start w:w="70" w:type="dxa"/>
              <w:bottom w:w="55" w:type="dxa"/>
              <w:end w:w="70" w:type="dxa"/>
            </w:tcMar>
            <w:vAlign w:val="top"/>
          </w:tcPr>
          <w:p>
            <w:pPr>
              <w:spacing w:after="10" w:line="240" w:lineRule="auto"/>
            </w:pPr>
            <w:r>
              <w:rPr>
                <w:rFonts w:ascii="Arial" w:hAnsi="Arial"/>
                <w:b/>
                <w:sz w:val="15"/>
              </w:rPr>
              <w:t>FY25 declared dividend</w:t>
            </w:r>
          </w:p>
        </w:tc>
        <w:tc>
          <w:tcPr>
            <w:tcW w:type="dxa" w:w="2016"/>
            <w:tcMar>
              <w:top w:w="55" w:type="dxa"/>
              <w:start w:w="70" w:type="dxa"/>
              <w:bottom w:w="55" w:type="dxa"/>
              <w:end w:w="70" w:type="dxa"/>
            </w:tcMar>
            <w:vAlign w:val="top"/>
          </w:tcPr>
          <w:p>
            <w:pPr>
              <w:spacing w:after="10" w:line="240" w:lineRule="auto"/>
            </w:pPr>
            <w:r>
              <w:rPr>
                <w:rFonts w:ascii="Arial" w:hAnsi="Arial"/>
                <w:sz w:val="15"/>
              </w:rPr>
              <w:t>₹165/share</w:t>
            </w:r>
          </w:p>
        </w:tc>
        <w:tc>
          <w:tcPr>
            <w:tcW w:type="dxa" w:w="5616"/>
            <w:tcMar>
              <w:top w:w="55" w:type="dxa"/>
              <w:start w:w="70" w:type="dxa"/>
              <w:bottom w:w="55" w:type="dxa"/>
              <w:end w:w="70" w:type="dxa"/>
            </w:tcMar>
            <w:vAlign w:val="top"/>
          </w:tcPr>
          <w:p>
            <w:pPr>
              <w:spacing w:after="10" w:line="240" w:lineRule="auto"/>
            </w:pPr>
            <w:r>
              <w:rPr>
                <w:rFonts w:ascii="Arial" w:hAnsi="Arial"/>
                <w:sz w:val="15"/>
              </w:rPr>
              <w:t>₹35 normal + ₹100 anniversary + ₹30 linked to Thane gain</w:t>
            </w:r>
          </w:p>
        </w:tc>
      </w:tr>
      <w:tr>
        <w:trPr>
          <w:cantSplit/>
        </w:trPr>
        <w:tc>
          <w:tcPr>
            <w:tcW w:type="dxa" w:w="3024"/>
            <w:shd w:fill="F7F7F7"/>
            <w:tcMar>
              <w:top w:w="55" w:type="dxa"/>
              <w:start w:w="70" w:type="dxa"/>
              <w:bottom w:w="55" w:type="dxa"/>
              <w:end w:w="70" w:type="dxa"/>
            </w:tcMar>
            <w:vAlign w:val="top"/>
          </w:tcPr>
          <w:p>
            <w:pPr>
              <w:spacing w:after="10" w:line="240" w:lineRule="auto"/>
            </w:pPr>
            <w:r>
              <w:rPr>
                <w:rFonts w:ascii="Arial" w:hAnsi="Arial"/>
                <w:b/>
                <w:sz w:val="15"/>
              </w:rPr>
              <w:t>FY26 dividend paid</w:t>
            </w:r>
          </w:p>
        </w:tc>
        <w:tc>
          <w:tcPr>
            <w:tcW w:type="dxa" w:w="2016"/>
            <w:shd w:fill="F7F7F7"/>
            <w:tcMar>
              <w:top w:w="55" w:type="dxa"/>
              <w:start w:w="70" w:type="dxa"/>
              <w:bottom w:w="55" w:type="dxa"/>
              <w:end w:w="70" w:type="dxa"/>
            </w:tcMar>
            <w:vAlign w:val="top"/>
          </w:tcPr>
          <w:p>
            <w:pPr>
              <w:spacing w:after="10" w:line="240" w:lineRule="auto"/>
            </w:pPr>
            <w:r>
              <w:rPr>
                <w:rFonts w:ascii="Arial" w:hAnsi="Arial"/>
                <w:sz w:val="15"/>
              </w:rPr>
              <w:t>₹752cr</w:t>
            </w:r>
          </w:p>
        </w:tc>
        <w:tc>
          <w:tcPr>
            <w:tcW w:type="dxa" w:w="5616"/>
            <w:shd w:fill="F7F7F7"/>
            <w:tcMar>
              <w:top w:w="55" w:type="dxa"/>
              <w:start w:w="70" w:type="dxa"/>
              <w:bottom w:w="55" w:type="dxa"/>
              <w:end w:w="70" w:type="dxa"/>
            </w:tcMar>
            <w:vAlign w:val="top"/>
          </w:tcPr>
          <w:p>
            <w:pPr>
              <w:spacing w:after="10" w:line="240" w:lineRule="auto"/>
            </w:pPr>
            <w:r>
              <w:rPr>
                <w:rFonts w:ascii="Arial" w:hAnsi="Arial"/>
                <w:sz w:val="15"/>
              </w:rPr>
              <w:t>Cash flow reflects FY25 declaration</w:t>
            </w:r>
          </w:p>
        </w:tc>
      </w:tr>
      <w:tr>
        <w:trPr>
          <w:cantSplit/>
        </w:trPr>
        <w:tc>
          <w:tcPr>
            <w:tcW w:type="dxa" w:w="3024"/>
            <w:tcMar>
              <w:top w:w="55" w:type="dxa"/>
              <w:start w:w="70" w:type="dxa"/>
              <w:bottom w:w="55" w:type="dxa"/>
              <w:end w:w="70" w:type="dxa"/>
            </w:tcMar>
            <w:vAlign w:val="top"/>
          </w:tcPr>
          <w:p>
            <w:pPr>
              <w:spacing w:after="10" w:line="240" w:lineRule="auto"/>
            </w:pPr>
            <w:r>
              <w:rPr>
                <w:rFonts w:ascii="Arial" w:hAnsi="Arial"/>
                <w:b/>
                <w:sz w:val="15"/>
              </w:rPr>
              <w:t>FY26 recommended</w:t>
            </w:r>
          </w:p>
        </w:tc>
        <w:tc>
          <w:tcPr>
            <w:tcW w:type="dxa" w:w="2016"/>
            <w:tcMar>
              <w:top w:w="55" w:type="dxa"/>
              <w:start w:w="70" w:type="dxa"/>
              <w:bottom w:w="55" w:type="dxa"/>
              <w:end w:w="70" w:type="dxa"/>
            </w:tcMar>
            <w:vAlign w:val="top"/>
          </w:tcPr>
          <w:p>
            <w:pPr>
              <w:spacing w:after="10" w:line="240" w:lineRule="auto"/>
            </w:pPr>
            <w:r>
              <w:rPr>
                <w:rFonts w:ascii="Arial" w:hAnsi="Arial"/>
                <w:sz w:val="15"/>
              </w:rPr>
              <w:t>₹75/share / ₹343cr</w:t>
            </w:r>
          </w:p>
        </w:tc>
        <w:tc>
          <w:tcPr>
            <w:tcW w:type="dxa" w:w="5616"/>
            <w:tcMar>
              <w:top w:w="55" w:type="dxa"/>
              <w:start w:w="70" w:type="dxa"/>
              <w:bottom w:w="55" w:type="dxa"/>
              <w:end w:w="70" w:type="dxa"/>
            </w:tcMar>
            <w:vAlign w:val="top"/>
          </w:tcPr>
          <w:p>
            <w:pPr>
              <w:spacing w:after="10" w:line="240" w:lineRule="auto"/>
            </w:pPr>
            <w:r>
              <w:rPr>
                <w:rFonts w:ascii="Arial" w:hAnsi="Arial"/>
                <w:sz w:val="15"/>
              </w:rPr>
              <w:t>Above historic normal dividend but below FY25 exceptional payout</w:t>
            </w:r>
          </w:p>
        </w:tc>
      </w:tr>
      <w:tr>
        <w:trPr>
          <w:cantSplit/>
        </w:trPr>
        <w:tc>
          <w:tcPr>
            <w:tcW w:type="dxa" w:w="3024"/>
            <w:shd w:fill="F7F7F7"/>
            <w:tcMar>
              <w:top w:w="55" w:type="dxa"/>
              <w:start w:w="70" w:type="dxa"/>
              <w:bottom w:w="55" w:type="dxa"/>
              <w:end w:w="70" w:type="dxa"/>
            </w:tcMar>
            <w:vAlign w:val="top"/>
          </w:tcPr>
          <w:p>
            <w:pPr>
              <w:spacing w:after="10" w:line="240" w:lineRule="auto"/>
            </w:pPr>
            <w:r>
              <w:rPr>
                <w:rFonts w:ascii="Arial" w:hAnsi="Arial"/>
                <w:b/>
                <w:sz w:val="15"/>
              </w:rPr>
              <w:t>FY26 cash/banks</w:t>
            </w:r>
          </w:p>
        </w:tc>
        <w:tc>
          <w:tcPr>
            <w:tcW w:type="dxa" w:w="2016"/>
            <w:shd w:fill="F7F7F7"/>
            <w:tcMar>
              <w:top w:w="55" w:type="dxa"/>
              <w:start w:w="70" w:type="dxa"/>
              <w:bottom w:w="55" w:type="dxa"/>
              <w:end w:w="70" w:type="dxa"/>
            </w:tcMar>
            <w:vAlign w:val="top"/>
          </w:tcPr>
          <w:p>
            <w:pPr>
              <w:spacing w:after="10" w:line="240" w:lineRule="auto"/>
            </w:pPr>
            <w:r>
              <w:rPr>
                <w:rFonts w:ascii="Arial" w:hAnsi="Arial"/>
                <w:sz w:val="15"/>
              </w:rPr>
              <w:t>₹3,111cr</w:t>
            </w:r>
          </w:p>
        </w:tc>
        <w:tc>
          <w:tcPr>
            <w:tcW w:type="dxa" w:w="5616"/>
            <w:shd w:fill="F7F7F7"/>
            <w:tcMar>
              <w:top w:w="55" w:type="dxa"/>
              <w:start w:w="70" w:type="dxa"/>
              <w:bottom w:w="55" w:type="dxa"/>
              <w:end w:w="70" w:type="dxa"/>
            </w:tcMar>
            <w:vAlign w:val="top"/>
          </w:tcPr>
          <w:p>
            <w:pPr>
              <w:spacing w:after="10" w:line="240" w:lineRule="auto"/>
            </w:pPr>
            <w:r>
              <w:rPr>
                <w:rFonts w:ascii="Arial" w:hAnsi="Arial"/>
                <w:sz w:val="15"/>
              </w:rPr>
              <w:t>68% of FY26 equity; suppresses ROE and supports payout</w:t>
            </w:r>
          </w:p>
        </w:tc>
      </w:tr>
    </w:tbl>
    <w:p>
      <w:pPr>
        <w:pStyle w:val="ExhibitTitle"/>
      </w:pPr>
      <w:r>
        <w:t>Exhibit 16. Pfizer is run for both operating cash and episodic extraction, not for balance-sheet efficiency</w:t>
      </w:r>
    </w:p>
    <w:p>
      <w:r>
        <w:rPr>
          <w:color w:val="59636E"/>
          <w:sz w:val="15"/>
        </w:rPr>
        <w:t>The business can fund launches internally. Without an identified acquisition or product-transfer use, cash should be valued at a discount to face value until returned.</w:t>
      </w:r>
    </w:p>
    <w:p>
      <w:pPr>
        <w:pStyle w:val="Source"/>
      </w:pPr>
      <w:r>
        <w:t>Source: Pfizer annual reports FY21-FY26 [S1, S3, S23].</w:t>
      </w:r>
    </w:p>
    <w:p>
      <w:r>
        <w:t>A buyback is possible but not disclosed. Acquisitions are historically limited; business transfers have been more important. We value FY29 excess cash at face value in the base SOTP but apply no value to hypothetical product transfers. Investors could reasonably haircut cash if payout visibility weakens.</w:t>
      </w:r>
    </w:p>
    <w:p>
      <w:pPr>
        <w:pStyle w:val="Heading1"/>
      </w:pPr>
      <w:r>
        <w:t>PART IX: Valuation</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2088"/>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Company</w:t>
            </w:r>
          </w:p>
        </w:tc>
        <w:tc>
          <w:tcPr>
            <w:tcW w:type="dxa" w:w="1296"/>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Price</w:t>
            </w:r>
          </w:p>
        </w:tc>
        <w:tc>
          <w:tcPr>
            <w:tcW w:type="dxa" w:w="1512"/>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Market cap</w:t>
            </w:r>
          </w:p>
        </w:tc>
        <w:tc>
          <w:tcPr>
            <w:tcW w:type="dxa" w:w="1080"/>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TTM P/E</w:t>
            </w:r>
          </w:p>
        </w:tc>
        <w:tc>
          <w:tcPr>
            <w:tcW w:type="dxa" w:w="1440"/>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Forward P/E</w:t>
            </w:r>
          </w:p>
        </w:tc>
        <w:tc>
          <w:tcPr>
            <w:tcW w:type="dxa" w:w="1440"/>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EBITDA margin</w:t>
            </w:r>
          </w:p>
        </w:tc>
        <w:tc>
          <w:tcPr>
            <w:tcW w:type="dxa" w:w="1440"/>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Balance sheet</w:t>
            </w:r>
          </w:p>
        </w:tc>
        <w:tc>
          <w:tcPr>
            <w:tcW w:type="dxa" w:w="1440"/>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Timestamp</w:t>
            </w:r>
          </w:p>
        </w:tc>
      </w:tr>
      <w:tr>
        <w:trPr>
          <w:cantSplit/>
        </w:trPr>
        <w:tc>
          <w:tcPr>
            <w:tcW w:type="dxa" w:w="2088"/>
            <w:tcMar>
              <w:top w:w="55" w:type="dxa"/>
              <w:start w:w="70" w:type="dxa"/>
              <w:bottom w:w="55" w:type="dxa"/>
              <w:end w:w="70" w:type="dxa"/>
            </w:tcMar>
            <w:vAlign w:val="top"/>
          </w:tcPr>
          <w:p>
            <w:pPr>
              <w:spacing w:after="10" w:line="240" w:lineRule="auto"/>
            </w:pPr>
            <w:r>
              <w:rPr>
                <w:rFonts w:ascii="Arial" w:hAnsi="Arial"/>
                <w:b/>
                <w:sz w:val="13"/>
              </w:rPr>
              <w:t>Pfizer Limited</w:t>
            </w:r>
          </w:p>
        </w:tc>
        <w:tc>
          <w:tcPr>
            <w:tcW w:type="dxa" w:w="1296"/>
            <w:tcMar>
              <w:top w:w="55" w:type="dxa"/>
              <w:start w:w="70" w:type="dxa"/>
              <w:bottom w:w="55" w:type="dxa"/>
              <w:end w:w="70" w:type="dxa"/>
            </w:tcMar>
            <w:vAlign w:val="top"/>
          </w:tcPr>
          <w:p>
            <w:pPr>
              <w:spacing w:after="10" w:line="240" w:lineRule="auto"/>
            </w:pPr>
            <w:r>
              <w:rPr>
                <w:rFonts w:ascii="Arial" w:hAnsi="Arial"/>
                <w:sz w:val="13"/>
              </w:rPr>
              <w:t>₹4,014</w:t>
            </w:r>
          </w:p>
        </w:tc>
        <w:tc>
          <w:tcPr>
            <w:tcW w:type="dxa" w:w="1512"/>
            <w:tcMar>
              <w:top w:w="55" w:type="dxa"/>
              <w:start w:w="70" w:type="dxa"/>
              <w:bottom w:w="55" w:type="dxa"/>
              <w:end w:w="70" w:type="dxa"/>
            </w:tcMar>
            <w:vAlign w:val="top"/>
          </w:tcPr>
          <w:p>
            <w:pPr>
              <w:spacing w:after="10" w:line="240" w:lineRule="auto"/>
            </w:pPr>
            <w:r>
              <w:rPr>
                <w:rFonts w:ascii="Arial" w:hAnsi="Arial"/>
                <w:sz w:val="13"/>
              </w:rPr>
              <w:t>₹18,360cr</w:t>
            </w:r>
          </w:p>
        </w:tc>
        <w:tc>
          <w:tcPr>
            <w:tcW w:type="dxa" w:w="1080"/>
            <w:tcMar>
              <w:top w:w="55" w:type="dxa"/>
              <w:start w:w="70" w:type="dxa"/>
              <w:bottom w:w="55" w:type="dxa"/>
              <w:end w:w="70" w:type="dxa"/>
            </w:tcMar>
            <w:vAlign w:val="top"/>
          </w:tcPr>
          <w:p>
            <w:pPr>
              <w:spacing w:after="10" w:line="240" w:lineRule="auto"/>
            </w:pPr>
            <w:r>
              <w:rPr>
                <w:rFonts w:ascii="Arial" w:hAnsi="Arial"/>
                <w:sz w:val="13"/>
              </w:rPr>
              <w:t>25.0x</w:t>
            </w:r>
          </w:p>
        </w:tc>
        <w:tc>
          <w:tcPr>
            <w:tcW w:type="dxa" w:w="1440"/>
            <w:tcMar>
              <w:top w:w="55" w:type="dxa"/>
              <w:start w:w="70" w:type="dxa"/>
              <w:bottom w:w="55" w:type="dxa"/>
              <w:end w:w="70" w:type="dxa"/>
            </w:tcMar>
            <w:vAlign w:val="top"/>
          </w:tcPr>
          <w:p>
            <w:pPr>
              <w:spacing w:after="10" w:line="240" w:lineRule="auto"/>
            </w:pPr>
            <w:r>
              <w:rPr>
                <w:rFonts w:ascii="Arial" w:hAnsi="Arial"/>
                <w:sz w:val="13"/>
              </w:rPr>
              <w:t>24.2x FY26 core</w:t>
            </w:r>
          </w:p>
        </w:tc>
        <w:tc>
          <w:tcPr>
            <w:tcW w:type="dxa" w:w="1440"/>
            <w:tcMar>
              <w:top w:w="55" w:type="dxa"/>
              <w:start w:w="70" w:type="dxa"/>
              <w:bottom w:w="55" w:type="dxa"/>
              <w:end w:w="70" w:type="dxa"/>
            </w:tcMar>
            <w:vAlign w:val="top"/>
          </w:tcPr>
          <w:p>
            <w:pPr>
              <w:spacing w:after="10" w:line="240" w:lineRule="auto"/>
            </w:pPr>
            <w:r>
              <w:rPr>
                <w:rFonts w:ascii="Arial" w:hAnsi="Arial"/>
                <w:sz w:val="13"/>
              </w:rPr>
              <w:t>35.9% BE</w:t>
            </w:r>
          </w:p>
        </w:tc>
        <w:tc>
          <w:tcPr>
            <w:tcW w:type="dxa" w:w="1440"/>
            <w:tcMar>
              <w:top w:w="55" w:type="dxa"/>
              <w:start w:w="70" w:type="dxa"/>
              <w:bottom w:w="55" w:type="dxa"/>
              <w:end w:w="70" w:type="dxa"/>
            </w:tcMar>
            <w:vAlign w:val="top"/>
          </w:tcPr>
          <w:p>
            <w:pPr>
              <w:spacing w:after="10" w:line="240" w:lineRule="auto"/>
            </w:pPr>
            <w:r>
              <w:rPr>
                <w:rFonts w:ascii="Arial" w:hAnsi="Arial"/>
                <w:sz w:val="13"/>
              </w:rPr>
              <w:t>Net cash</w:t>
            </w:r>
          </w:p>
        </w:tc>
        <w:tc>
          <w:tcPr>
            <w:tcW w:type="dxa" w:w="1440"/>
            <w:tcMar>
              <w:top w:w="55" w:type="dxa"/>
              <w:start w:w="70" w:type="dxa"/>
              <w:bottom w:w="55" w:type="dxa"/>
              <w:end w:w="70" w:type="dxa"/>
            </w:tcMar>
            <w:vAlign w:val="top"/>
          </w:tcPr>
          <w:p>
            <w:pPr>
              <w:spacing w:after="10" w:line="240" w:lineRule="auto"/>
            </w:pPr>
            <w:r>
              <w:rPr>
                <w:rFonts w:ascii="Arial" w:hAnsi="Arial"/>
                <w:sz w:val="13"/>
              </w:rPr>
              <w:t>16 Sep 2026</w:t>
            </w:r>
          </w:p>
        </w:tc>
      </w:tr>
      <w:tr>
        <w:trPr>
          <w:cantSplit/>
        </w:trPr>
        <w:tc>
          <w:tcPr>
            <w:tcW w:type="dxa" w:w="2088"/>
            <w:shd w:fill="F7F7F7"/>
            <w:tcMar>
              <w:top w:w="55" w:type="dxa"/>
              <w:start w:w="70" w:type="dxa"/>
              <w:bottom w:w="55" w:type="dxa"/>
              <w:end w:w="70" w:type="dxa"/>
            </w:tcMar>
            <w:vAlign w:val="top"/>
          </w:tcPr>
          <w:p>
            <w:pPr>
              <w:spacing w:after="10" w:line="240" w:lineRule="auto"/>
            </w:pPr>
            <w:r>
              <w:rPr>
                <w:rFonts w:ascii="Arial" w:hAnsi="Arial"/>
                <w:b/>
                <w:sz w:val="13"/>
              </w:rPr>
              <w:t>GSK Pharma India</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3"/>
              </w:rPr>
              <w:t>₹2,856</w:t>
            </w:r>
          </w:p>
        </w:tc>
        <w:tc>
          <w:tcPr>
            <w:tcW w:type="dxa" w:w="1512"/>
            <w:shd w:fill="F7F7F7"/>
            <w:tcMar>
              <w:top w:w="55" w:type="dxa"/>
              <w:start w:w="70" w:type="dxa"/>
              <w:bottom w:w="55" w:type="dxa"/>
              <w:end w:w="70" w:type="dxa"/>
            </w:tcMar>
            <w:vAlign w:val="top"/>
          </w:tcPr>
          <w:p>
            <w:pPr>
              <w:spacing w:after="10" w:line="240" w:lineRule="auto"/>
            </w:pPr>
            <w:r>
              <w:rPr>
                <w:rFonts w:ascii="Arial" w:hAnsi="Arial"/>
                <w:sz w:val="13"/>
              </w:rPr>
              <w:t>₹48,386cr</w:t>
            </w:r>
          </w:p>
        </w:tc>
        <w:tc>
          <w:tcPr>
            <w:tcW w:type="dxa" w:w="1080"/>
            <w:shd w:fill="F7F7F7"/>
            <w:tcMar>
              <w:top w:w="55" w:type="dxa"/>
              <w:start w:w="70" w:type="dxa"/>
              <w:bottom w:w="55" w:type="dxa"/>
              <w:end w:w="70" w:type="dxa"/>
            </w:tcMar>
            <w:vAlign w:val="top"/>
          </w:tcPr>
          <w:p>
            <w:pPr>
              <w:spacing w:after="10" w:line="240" w:lineRule="auto"/>
            </w:pPr>
            <w:r>
              <w:rPr>
                <w:rFonts w:ascii="Arial" w:hAnsi="Arial"/>
                <w:sz w:val="13"/>
              </w:rPr>
              <w:t>46.0x</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3"/>
              </w:rPr>
              <w:t>N/V</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3"/>
              </w:rPr>
              <w:t>High</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3"/>
              </w:rPr>
              <w:t>Net cash</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3"/>
              </w:rPr>
              <w:t>Public snapshot</w:t>
            </w:r>
          </w:p>
        </w:tc>
      </w:tr>
      <w:tr>
        <w:trPr>
          <w:cantSplit/>
        </w:trPr>
        <w:tc>
          <w:tcPr>
            <w:tcW w:type="dxa" w:w="2088"/>
            <w:tcMar>
              <w:top w:w="55" w:type="dxa"/>
              <w:start w:w="70" w:type="dxa"/>
              <w:bottom w:w="55" w:type="dxa"/>
              <w:end w:w="70" w:type="dxa"/>
            </w:tcMar>
            <w:vAlign w:val="top"/>
          </w:tcPr>
          <w:p>
            <w:pPr>
              <w:spacing w:after="10" w:line="240" w:lineRule="auto"/>
            </w:pPr>
            <w:r>
              <w:rPr>
                <w:rFonts w:ascii="Arial" w:hAnsi="Arial"/>
                <w:b/>
                <w:sz w:val="13"/>
              </w:rPr>
              <w:t>Abbott India</w:t>
            </w:r>
          </w:p>
        </w:tc>
        <w:tc>
          <w:tcPr>
            <w:tcW w:type="dxa" w:w="1296"/>
            <w:tcMar>
              <w:top w:w="55" w:type="dxa"/>
              <w:start w:w="70" w:type="dxa"/>
              <w:bottom w:w="55" w:type="dxa"/>
              <w:end w:w="70" w:type="dxa"/>
            </w:tcMar>
            <w:vAlign w:val="top"/>
          </w:tcPr>
          <w:p>
            <w:pPr>
              <w:spacing w:after="10" w:line="240" w:lineRule="auto"/>
            </w:pPr>
            <w:r>
              <w:rPr>
                <w:rFonts w:ascii="Arial" w:hAnsi="Arial"/>
                <w:sz w:val="13"/>
              </w:rPr>
              <w:t>₹26,125</w:t>
            </w:r>
          </w:p>
        </w:tc>
        <w:tc>
          <w:tcPr>
            <w:tcW w:type="dxa" w:w="1512"/>
            <w:tcMar>
              <w:top w:w="55" w:type="dxa"/>
              <w:start w:w="70" w:type="dxa"/>
              <w:bottom w:w="55" w:type="dxa"/>
              <w:end w:w="70" w:type="dxa"/>
            </w:tcMar>
            <w:vAlign w:val="top"/>
          </w:tcPr>
          <w:p>
            <w:pPr>
              <w:spacing w:after="10" w:line="240" w:lineRule="auto"/>
            </w:pPr>
            <w:r>
              <w:rPr>
                <w:rFonts w:ascii="Arial" w:hAnsi="Arial"/>
                <w:sz w:val="13"/>
              </w:rPr>
              <w:t>₹55,516cr</w:t>
            </w:r>
          </w:p>
        </w:tc>
        <w:tc>
          <w:tcPr>
            <w:tcW w:type="dxa" w:w="1080"/>
            <w:tcMar>
              <w:top w:w="55" w:type="dxa"/>
              <w:start w:w="70" w:type="dxa"/>
              <w:bottom w:w="55" w:type="dxa"/>
              <w:end w:w="70" w:type="dxa"/>
            </w:tcMar>
            <w:vAlign w:val="top"/>
          </w:tcPr>
          <w:p>
            <w:pPr>
              <w:spacing w:after="10" w:line="240" w:lineRule="auto"/>
            </w:pPr>
            <w:r>
              <w:rPr>
                <w:rFonts w:ascii="Arial" w:hAnsi="Arial"/>
                <w:sz w:val="13"/>
              </w:rPr>
              <w:t>34.4x</w:t>
            </w:r>
          </w:p>
        </w:tc>
        <w:tc>
          <w:tcPr>
            <w:tcW w:type="dxa" w:w="1440"/>
            <w:tcMar>
              <w:top w:w="55" w:type="dxa"/>
              <w:start w:w="70" w:type="dxa"/>
              <w:bottom w:w="55" w:type="dxa"/>
              <w:end w:w="70" w:type="dxa"/>
            </w:tcMar>
            <w:vAlign w:val="top"/>
          </w:tcPr>
          <w:p>
            <w:pPr>
              <w:spacing w:after="10" w:line="240" w:lineRule="auto"/>
            </w:pPr>
            <w:r>
              <w:rPr>
                <w:rFonts w:ascii="Arial" w:hAnsi="Arial"/>
                <w:sz w:val="13"/>
              </w:rPr>
              <w:t>N/V</w:t>
            </w:r>
          </w:p>
        </w:tc>
        <w:tc>
          <w:tcPr>
            <w:tcW w:type="dxa" w:w="1440"/>
            <w:tcMar>
              <w:top w:w="55" w:type="dxa"/>
              <w:start w:w="70" w:type="dxa"/>
              <w:bottom w:w="55" w:type="dxa"/>
              <w:end w:w="70" w:type="dxa"/>
            </w:tcMar>
            <w:vAlign w:val="top"/>
          </w:tcPr>
          <w:p>
            <w:pPr>
              <w:spacing w:after="10" w:line="240" w:lineRule="auto"/>
            </w:pPr>
            <w:r>
              <w:rPr>
                <w:rFonts w:ascii="Arial" w:hAnsi="Arial"/>
                <w:sz w:val="13"/>
              </w:rPr>
              <w:t>High</w:t>
            </w:r>
          </w:p>
        </w:tc>
        <w:tc>
          <w:tcPr>
            <w:tcW w:type="dxa" w:w="1440"/>
            <w:tcMar>
              <w:top w:w="55" w:type="dxa"/>
              <w:start w:w="70" w:type="dxa"/>
              <w:bottom w:w="55" w:type="dxa"/>
              <w:end w:w="70" w:type="dxa"/>
            </w:tcMar>
            <w:vAlign w:val="top"/>
          </w:tcPr>
          <w:p>
            <w:pPr>
              <w:spacing w:after="10" w:line="240" w:lineRule="auto"/>
            </w:pPr>
            <w:r>
              <w:rPr>
                <w:rFonts w:ascii="Arial" w:hAnsi="Arial"/>
                <w:sz w:val="13"/>
              </w:rPr>
              <w:t>Net cash</w:t>
            </w:r>
          </w:p>
        </w:tc>
        <w:tc>
          <w:tcPr>
            <w:tcW w:type="dxa" w:w="1440"/>
            <w:tcMar>
              <w:top w:w="55" w:type="dxa"/>
              <w:start w:w="70" w:type="dxa"/>
              <w:bottom w:w="55" w:type="dxa"/>
              <w:end w:w="70" w:type="dxa"/>
            </w:tcMar>
            <w:vAlign w:val="top"/>
          </w:tcPr>
          <w:p>
            <w:pPr>
              <w:spacing w:after="10" w:line="240" w:lineRule="auto"/>
            </w:pPr>
            <w:r>
              <w:rPr>
                <w:rFonts w:ascii="Arial" w:hAnsi="Arial"/>
                <w:sz w:val="13"/>
              </w:rPr>
              <w:t>16 Sep 2026</w:t>
            </w:r>
          </w:p>
        </w:tc>
      </w:tr>
      <w:tr>
        <w:trPr>
          <w:cantSplit/>
        </w:trPr>
        <w:tc>
          <w:tcPr>
            <w:tcW w:type="dxa" w:w="2088"/>
            <w:shd w:fill="F7F7F7"/>
            <w:tcMar>
              <w:top w:w="55" w:type="dxa"/>
              <w:start w:w="70" w:type="dxa"/>
              <w:bottom w:w="55" w:type="dxa"/>
              <w:end w:w="70" w:type="dxa"/>
            </w:tcMar>
            <w:vAlign w:val="top"/>
          </w:tcPr>
          <w:p>
            <w:pPr>
              <w:spacing w:after="10" w:line="240" w:lineRule="auto"/>
            </w:pPr>
            <w:r>
              <w:rPr>
                <w:rFonts w:ascii="Arial" w:hAnsi="Arial"/>
                <w:b/>
                <w:sz w:val="13"/>
              </w:rPr>
              <w:t>Sanofi India</w:t>
            </w:r>
          </w:p>
        </w:tc>
        <w:tc>
          <w:tcPr>
            <w:tcW w:type="dxa" w:w="1296"/>
            <w:shd w:fill="F7F7F7"/>
            <w:tcMar>
              <w:top w:w="55" w:type="dxa"/>
              <w:start w:w="70" w:type="dxa"/>
              <w:bottom w:w="55" w:type="dxa"/>
              <w:end w:w="70" w:type="dxa"/>
            </w:tcMar>
            <w:vAlign w:val="top"/>
          </w:tcPr>
          <w:p>
            <w:pPr>
              <w:spacing w:after="10" w:line="240" w:lineRule="auto"/>
            </w:pPr>
            <w:r>
              <w:rPr>
                <w:rFonts w:ascii="Arial" w:hAnsi="Arial"/>
                <w:sz w:val="13"/>
              </w:rPr>
              <w:t>₹3,111</w:t>
            </w:r>
          </w:p>
        </w:tc>
        <w:tc>
          <w:tcPr>
            <w:tcW w:type="dxa" w:w="1512"/>
            <w:shd w:fill="F7F7F7"/>
            <w:tcMar>
              <w:top w:w="55" w:type="dxa"/>
              <w:start w:w="70" w:type="dxa"/>
              <w:bottom w:w="55" w:type="dxa"/>
              <w:end w:w="70" w:type="dxa"/>
            </w:tcMar>
            <w:vAlign w:val="top"/>
          </w:tcPr>
          <w:p>
            <w:pPr>
              <w:spacing w:after="10" w:line="240" w:lineRule="auto"/>
            </w:pPr>
            <w:r>
              <w:rPr>
                <w:rFonts w:ascii="Arial" w:hAnsi="Arial"/>
                <w:sz w:val="13"/>
              </w:rPr>
              <w:t>₹7,165cr</w:t>
            </w:r>
          </w:p>
        </w:tc>
        <w:tc>
          <w:tcPr>
            <w:tcW w:type="dxa" w:w="1080"/>
            <w:shd w:fill="F7F7F7"/>
            <w:tcMar>
              <w:top w:w="55" w:type="dxa"/>
              <w:start w:w="70" w:type="dxa"/>
              <w:bottom w:w="55" w:type="dxa"/>
              <w:end w:w="70" w:type="dxa"/>
            </w:tcMar>
            <w:vAlign w:val="top"/>
          </w:tcPr>
          <w:p>
            <w:pPr>
              <w:spacing w:after="10" w:line="240" w:lineRule="auto"/>
            </w:pPr>
            <w:r>
              <w:rPr>
                <w:rFonts w:ascii="Arial" w:hAnsi="Arial"/>
                <w:sz w:val="13"/>
              </w:rPr>
              <w:t>20.8x</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3"/>
              </w:rPr>
              <w:t>N/V</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3"/>
              </w:rPr>
              <w:t>High</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3"/>
              </w:rPr>
              <w:t>Net cash</w:t>
            </w:r>
          </w:p>
        </w:tc>
        <w:tc>
          <w:tcPr>
            <w:tcW w:type="dxa" w:w="1440"/>
            <w:shd w:fill="F7F7F7"/>
            <w:tcMar>
              <w:top w:w="55" w:type="dxa"/>
              <w:start w:w="70" w:type="dxa"/>
              <w:bottom w:w="55" w:type="dxa"/>
              <w:end w:w="70" w:type="dxa"/>
            </w:tcMar>
            <w:vAlign w:val="top"/>
          </w:tcPr>
          <w:p>
            <w:pPr>
              <w:spacing w:after="10" w:line="240" w:lineRule="auto"/>
            </w:pPr>
            <w:r>
              <w:rPr>
                <w:rFonts w:ascii="Arial" w:hAnsi="Arial"/>
                <w:sz w:val="13"/>
              </w:rPr>
              <w:t>16 Sep 2026</w:t>
            </w:r>
          </w:p>
        </w:tc>
      </w:tr>
      <w:tr>
        <w:trPr>
          <w:cantSplit/>
        </w:trPr>
        <w:tc>
          <w:tcPr>
            <w:tcW w:type="dxa" w:w="2088"/>
            <w:tcMar>
              <w:top w:w="55" w:type="dxa"/>
              <w:start w:w="70" w:type="dxa"/>
              <w:bottom w:w="55" w:type="dxa"/>
              <w:end w:w="70" w:type="dxa"/>
            </w:tcMar>
            <w:vAlign w:val="top"/>
          </w:tcPr>
          <w:p>
            <w:pPr>
              <w:spacing w:after="10" w:line="240" w:lineRule="auto"/>
            </w:pPr>
            <w:r>
              <w:rPr>
                <w:rFonts w:ascii="Arial" w:hAnsi="Arial"/>
                <w:b/>
                <w:sz w:val="13"/>
              </w:rPr>
              <w:t>AstraZeneca Pharma India</w:t>
            </w:r>
          </w:p>
        </w:tc>
        <w:tc>
          <w:tcPr>
            <w:tcW w:type="dxa" w:w="1296"/>
            <w:tcMar>
              <w:top w:w="55" w:type="dxa"/>
              <w:start w:w="70" w:type="dxa"/>
              <w:bottom w:w="55" w:type="dxa"/>
              <w:end w:w="70" w:type="dxa"/>
            </w:tcMar>
            <w:vAlign w:val="top"/>
          </w:tcPr>
          <w:p>
            <w:pPr>
              <w:spacing w:after="10" w:line="240" w:lineRule="auto"/>
            </w:pPr>
            <w:r>
              <w:rPr>
                <w:rFonts w:ascii="Arial" w:hAnsi="Arial"/>
                <w:sz w:val="13"/>
              </w:rPr>
              <w:t>₹6,703</w:t>
            </w:r>
          </w:p>
        </w:tc>
        <w:tc>
          <w:tcPr>
            <w:tcW w:type="dxa" w:w="1512"/>
            <w:tcMar>
              <w:top w:w="55" w:type="dxa"/>
              <w:start w:w="70" w:type="dxa"/>
              <w:bottom w:w="55" w:type="dxa"/>
              <w:end w:w="70" w:type="dxa"/>
            </w:tcMar>
            <w:vAlign w:val="top"/>
          </w:tcPr>
          <w:p>
            <w:pPr>
              <w:spacing w:after="10" w:line="240" w:lineRule="auto"/>
            </w:pPr>
            <w:r>
              <w:rPr>
                <w:rFonts w:ascii="Arial" w:hAnsi="Arial"/>
                <w:sz w:val="13"/>
              </w:rPr>
              <w:t>₹16,758cr</w:t>
            </w:r>
          </w:p>
        </w:tc>
        <w:tc>
          <w:tcPr>
            <w:tcW w:type="dxa" w:w="1080"/>
            <w:tcMar>
              <w:top w:w="55" w:type="dxa"/>
              <w:start w:w="70" w:type="dxa"/>
              <w:bottom w:w="55" w:type="dxa"/>
              <w:end w:w="70" w:type="dxa"/>
            </w:tcMar>
            <w:vAlign w:val="top"/>
          </w:tcPr>
          <w:p>
            <w:pPr>
              <w:spacing w:after="10" w:line="240" w:lineRule="auto"/>
            </w:pPr>
            <w:r>
              <w:rPr>
                <w:rFonts w:ascii="Arial" w:hAnsi="Arial"/>
                <w:sz w:val="13"/>
              </w:rPr>
              <w:t>98.9x</w:t>
            </w:r>
          </w:p>
        </w:tc>
        <w:tc>
          <w:tcPr>
            <w:tcW w:type="dxa" w:w="1440"/>
            <w:tcMar>
              <w:top w:w="55" w:type="dxa"/>
              <w:start w:w="70" w:type="dxa"/>
              <w:bottom w:w="55" w:type="dxa"/>
              <w:end w:w="70" w:type="dxa"/>
            </w:tcMar>
            <w:vAlign w:val="top"/>
          </w:tcPr>
          <w:p>
            <w:pPr>
              <w:spacing w:after="10" w:line="240" w:lineRule="auto"/>
            </w:pPr>
            <w:r>
              <w:rPr>
                <w:rFonts w:ascii="Arial" w:hAnsi="Arial"/>
                <w:sz w:val="13"/>
              </w:rPr>
              <w:t>N/V</w:t>
            </w:r>
          </w:p>
        </w:tc>
        <w:tc>
          <w:tcPr>
            <w:tcW w:type="dxa" w:w="1440"/>
            <w:tcMar>
              <w:top w:w="55" w:type="dxa"/>
              <w:start w:w="70" w:type="dxa"/>
              <w:bottom w:w="55" w:type="dxa"/>
              <w:end w:w="70" w:type="dxa"/>
            </w:tcMar>
            <w:vAlign w:val="top"/>
          </w:tcPr>
          <w:p>
            <w:pPr>
              <w:spacing w:after="10" w:line="240" w:lineRule="auto"/>
            </w:pPr>
            <w:r>
              <w:rPr>
                <w:rFonts w:ascii="Arial" w:hAnsi="Arial"/>
                <w:sz w:val="13"/>
              </w:rPr>
              <w:t>Volatile</w:t>
            </w:r>
          </w:p>
        </w:tc>
        <w:tc>
          <w:tcPr>
            <w:tcW w:type="dxa" w:w="1440"/>
            <w:tcMar>
              <w:top w:w="55" w:type="dxa"/>
              <w:start w:w="70" w:type="dxa"/>
              <w:bottom w:w="55" w:type="dxa"/>
              <w:end w:w="70" w:type="dxa"/>
            </w:tcMar>
            <w:vAlign w:val="top"/>
          </w:tcPr>
          <w:p>
            <w:pPr>
              <w:spacing w:after="10" w:line="240" w:lineRule="auto"/>
            </w:pPr>
            <w:r>
              <w:rPr>
                <w:rFonts w:ascii="Arial" w:hAnsi="Arial"/>
                <w:sz w:val="13"/>
              </w:rPr>
              <w:t>Net cash</w:t>
            </w:r>
          </w:p>
        </w:tc>
        <w:tc>
          <w:tcPr>
            <w:tcW w:type="dxa" w:w="1440"/>
            <w:tcMar>
              <w:top w:w="55" w:type="dxa"/>
              <w:start w:w="70" w:type="dxa"/>
              <w:bottom w:w="55" w:type="dxa"/>
              <w:end w:w="70" w:type="dxa"/>
            </w:tcMar>
            <w:vAlign w:val="top"/>
          </w:tcPr>
          <w:p>
            <w:pPr>
              <w:spacing w:after="10" w:line="240" w:lineRule="auto"/>
            </w:pPr>
            <w:r>
              <w:rPr>
                <w:rFonts w:ascii="Arial" w:hAnsi="Arial"/>
                <w:sz w:val="13"/>
              </w:rPr>
              <w:t>16 Sep 2026</w:t>
            </w:r>
          </w:p>
        </w:tc>
      </w:tr>
    </w:tbl>
    <w:p>
      <w:pPr>
        <w:pStyle w:val="ExhibitTitle"/>
      </w:pPr>
      <w:r>
        <w:t>Exhibit 17. Pfizer trades near Sanofi and below Abbott, while AstraZeneca’s innovation premium is irrelevant</w:t>
      </w:r>
    </w:p>
    <w:p>
      <w:r>
        <w:rPr>
          <w:color w:val="59636E"/>
          <w:sz w:val="15"/>
        </w:rPr>
        <w:t>The correct comparison is the India-listed MNC set. Global Pfizer multiples should not be applied mechanically.</w:t>
      </w:r>
    </w:p>
    <w:p>
      <w:pPr>
        <w:pStyle w:val="Source"/>
      </w:pPr>
      <w:r>
        <w:t>Source: Pfizer [S21-S22]; GSK and peer public market snapshots accessed 17 Sep 2026. N/V: forward consensus not independently verified without Bloomberg/FactSet. Prices are volatile.</w:t>
      </w:r>
    </w:p>
    <w:p>
      <w:pPr>
        <w:pStyle w:val="Heading2"/>
      </w:pPr>
      <w:r>
        <w:t>Correct framework: operating earnings plus excess cash</w:t>
      </w:r>
    </w:p>
    <w:p>
      <w:r>
        <w:t>P/E on total EPS undervalues the cash balance, while EV/EBITDA ignores the tax and persistence of treasury income. The clean framework is: operating-company value on after-tax operating earnings, plus excess cash, plus only risk-adjusted launch value that is already attributable to Pfizer Limited. Private-product transfer value stays outside the target value.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Component</w:t>
            </w:r>
          </w:p>
        </w:tc>
        <w:tc>
          <w:tcPr>
            <w:tcW w:type="dxa" w:w="5040"/>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Evidence</w:t>
            </w:r>
          </w:p>
        </w:tc>
        <w:tc>
          <w:tcPr>
            <w:tcW w:type="dxa" w:w="3600"/>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Multiple implication</w:t>
            </w:r>
          </w:p>
        </w:tc>
      </w:tr>
      <w:tr>
        <w:trPr>
          <w:cantSplit/>
        </w:trPr>
        <w:tc>
          <w:tcPr>
            <w:tcW w:type="dxa" w:w="2088"/>
            <w:tcMar>
              <w:top w:w="55" w:type="dxa"/>
              <w:start w:w="70" w:type="dxa"/>
              <w:bottom w:w="55" w:type="dxa"/>
              <w:end w:w="70" w:type="dxa"/>
            </w:tcMar>
            <w:vAlign w:val="top"/>
          </w:tcPr>
          <w:p>
            <w:pPr>
              <w:spacing w:after="10" w:line="240" w:lineRule="auto"/>
            </w:pPr>
            <w:r>
              <w:rPr>
                <w:rFonts w:ascii="Arial" w:hAnsi="Arial"/>
                <w:b/>
                <w:sz w:val="14"/>
              </w:rPr>
              <w:t>Peer range</w:t>
            </w:r>
          </w:p>
        </w:tc>
        <w:tc>
          <w:tcPr>
            <w:tcW w:type="dxa" w:w="5040"/>
            <w:tcMar>
              <w:top w:w="55" w:type="dxa"/>
              <w:start w:w="70" w:type="dxa"/>
              <w:bottom w:w="55" w:type="dxa"/>
              <w:end w:w="70" w:type="dxa"/>
            </w:tcMar>
            <w:vAlign w:val="top"/>
          </w:tcPr>
          <w:p>
            <w:pPr>
              <w:spacing w:after="10" w:line="240" w:lineRule="auto"/>
            </w:pPr>
            <w:r>
              <w:rPr>
                <w:rFonts w:ascii="Arial" w:hAnsi="Arial"/>
                <w:sz w:val="14"/>
              </w:rPr>
              <w:t>Sanofi ~21x; Abbott ~34x; GSK ~46x; AstraZeneca ~99x</w:t>
            </w:r>
          </w:p>
        </w:tc>
        <w:tc>
          <w:tcPr>
            <w:tcW w:type="dxa" w:w="3600"/>
            <w:tcMar>
              <w:top w:w="55" w:type="dxa"/>
              <w:start w:w="70" w:type="dxa"/>
              <w:bottom w:w="55" w:type="dxa"/>
              <w:end w:w="70" w:type="dxa"/>
            </w:tcMar>
            <w:vAlign w:val="top"/>
          </w:tcPr>
          <w:p>
            <w:pPr>
              <w:spacing w:after="10" w:line="240" w:lineRule="auto"/>
            </w:pPr>
            <w:r>
              <w:rPr>
                <w:rFonts w:ascii="Arial" w:hAnsi="Arial"/>
                <w:sz w:val="14"/>
              </w:rPr>
              <w:t>Wide range reflects different innovation and perimeter</w:t>
            </w:r>
          </w:p>
        </w:tc>
      </w:tr>
      <w:tr>
        <w:trPr>
          <w:cantSplit/>
        </w:trPr>
        <w:tc>
          <w:tcPr>
            <w:tcW w:type="dxa" w:w="2088"/>
            <w:shd w:fill="F7F7F7"/>
            <w:tcMar>
              <w:top w:w="55" w:type="dxa"/>
              <w:start w:w="70" w:type="dxa"/>
              <w:bottom w:w="55" w:type="dxa"/>
              <w:end w:w="70" w:type="dxa"/>
            </w:tcMar>
            <w:vAlign w:val="top"/>
          </w:tcPr>
          <w:p>
            <w:pPr>
              <w:spacing w:after="10" w:line="240" w:lineRule="auto"/>
            </w:pPr>
            <w:r>
              <w:rPr>
                <w:rFonts w:ascii="Arial" w:hAnsi="Arial"/>
                <w:b/>
                <w:sz w:val="14"/>
              </w:rPr>
              <w:t>Growth differential</w:t>
            </w:r>
          </w:p>
        </w:tc>
        <w:tc>
          <w:tcPr>
            <w:tcW w:type="dxa" w:w="5040"/>
            <w:shd w:fill="F7F7F7"/>
            <w:tcMar>
              <w:top w:w="55" w:type="dxa"/>
              <w:start w:w="70" w:type="dxa"/>
              <w:bottom w:w="55" w:type="dxa"/>
              <w:end w:w="70" w:type="dxa"/>
            </w:tcMar>
            <w:vAlign w:val="top"/>
          </w:tcPr>
          <w:p>
            <w:pPr>
              <w:spacing w:after="10" w:line="240" w:lineRule="auto"/>
            </w:pPr>
            <w:r>
              <w:rPr>
                <w:rFonts w:ascii="Arial" w:hAnsi="Arial"/>
                <w:sz w:val="14"/>
              </w:rPr>
              <w:t>Pfizer 6%-7% revenue and ~8%-10% EPS</w:t>
            </w:r>
          </w:p>
        </w:tc>
        <w:tc>
          <w:tcPr>
            <w:tcW w:type="dxa" w:w="3600"/>
            <w:shd w:fill="F7F7F7"/>
            <w:tcMar>
              <w:top w:w="55" w:type="dxa"/>
              <w:start w:w="70" w:type="dxa"/>
              <w:bottom w:w="55" w:type="dxa"/>
              <w:end w:w="70" w:type="dxa"/>
            </w:tcMar>
            <w:vAlign w:val="top"/>
          </w:tcPr>
          <w:p>
            <w:pPr>
              <w:spacing w:after="10" w:line="240" w:lineRule="auto"/>
            </w:pPr>
            <w:r>
              <w:rPr>
                <w:rFonts w:ascii="Arial" w:hAnsi="Arial"/>
                <w:sz w:val="14"/>
              </w:rPr>
              <w:t>Supports mid-to-high 20s, not 40x+</w:t>
            </w:r>
          </w:p>
        </w:tc>
      </w:tr>
      <w:tr>
        <w:trPr>
          <w:cantSplit/>
        </w:trPr>
        <w:tc>
          <w:tcPr>
            <w:tcW w:type="dxa" w:w="2088"/>
            <w:tcMar>
              <w:top w:w="55" w:type="dxa"/>
              <w:start w:w="70" w:type="dxa"/>
              <w:bottom w:w="55" w:type="dxa"/>
              <w:end w:w="70" w:type="dxa"/>
            </w:tcMar>
            <w:vAlign w:val="top"/>
          </w:tcPr>
          <w:p>
            <w:pPr>
              <w:spacing w:after="10" w:line="240" w:lineRule="auto"/>
            </w:pPr>
            <w:r>
              <w:rPr>
                <w:rFonts w:ascii="Arial" w:hAnsi="Arial"/>
                <w:b/>
                <w:sz w:val="14"/>
              </w:rPr>
              <w:t>Margin/cash conversion</w:t>
            </w:r>
          </w:p>
        </w:tc>
        <w:tc>
          <w:tcPr>
            <w:tcW w:type="dxa" w:w="5040"/>
            <w:tcMar>
              <w:top w:w="55" w:type="dxa"/>
              <w:start w:w="70" w:type="dxa"/>
              <w:bottom w:w="55" w:type="dxa"/>
              <w:end w:w="70" w:type="dxa"/>
            </w:tcMar>
            <w:vAlign w:val="top"/>
          </w:tcPr>
          <w:p>
            <w:pPr>
              <w:spacing w:after="10" w:line="240" w:lineRule="auto"/>
            </w:pPr>
            <w:r>
              <w:rPr>
                <w:rFonts w:ascii="Arial" w:hAnsi="Arial"/>
                <w:sz w:val="14"/>
              </w:rPr>
              <w:t>36% op EBITDA; strong FCF</w:t>
            </w:r>
          </w:p>
        </w:tc>
        <w:tc>
          <w:tcPr>
            <w:tcW w:type="dxa" w:w="3600"/>
            <w:tcMar>
              <w:top w:w="55" w:type="dxa"/>
              <w:start w:w="70" w:type="dxa"/>
              <w:bottom w:w="55" w:type="dxa"/>
              <w:end w:w="70" w:type="dxa"/>
            </w:tcMar>
            <w:vAlign w:val="top"/>
          </w:tcPr>
          <w:p>
            <w:pPr>
              <w:spacing w:after="10" w:line="240" w:lineRule="auto"/>
            </w:pPr>
            <w:r>
              <w:rPr>
                <w:rFonts w:ascii="Arial" w:hAnsi="Arial"/>
                <w:sz w:val="14"/>
              </w:rPr>
              <w:t>+2 turns</w:t>
            </w:r>
          </w:p>
        </w:tc>
      </w:tr>
      <w:tr>
        <w:trPr>
          <w:cantSplit/>
        </w:trPr>
        <w:tc>
          <w:tcPr>
            <w:tcW w:type="dxa" w:w="2088"/>
            <w:shd w:fill="F7F7F7"/>
            <w:tcMar>
              <w:top w:w="55" w:type="dxa"/>
              <w:start w:w="70" w:type="dxa"/>
              <w:bottom w:w="55" w:type="dxa"/>
              <w:end w:w="70" w:type="dxa"/>
            </w:tcMar>
            <w:vAlign w:val="top"/>
          </w:tcPr>
          <w:p>
            <w:pPr>
              <w:spacing w:after="10" w:line="240" w:lineRule="auto"/>
            </w:pPr>
            <w:r>
              <w:rPr>
                <w:rFonts w:ascii="Arial" w:hAnsi="Arial"/>
                <w:b/>
                <w:sz w:val="14"/>
              </w:rPr>
              <w:t>Product concentration</w:t>
            </w:r>
          </w:p>
        </w:tc>
        <w:tc>
          <w:tcPr>
            <w:tcW w:type="dxa" w:w="5040"/>
            <w:shd w:fill="F7F7F7"/>
            <w:tcMar>
              <w:top w:w="55" w:type="dxa"/>
              <w:start w:w="70" w:type="dxa"/>
              <w:bottom w:w="55" w:type="dxa"/>
              <w:end w:w="70" w:type="dxa"/>
            </w:tcMar>
            <w:vAlign w:val="top"/>
          </w:tcPr>
          <w:p>
            <w:pPr>
              <w:spacing w:after="10" w:line="240" w:lineRule="auto"/>
            </w:pPr>
            <w:r>
              <w:rPr>
                <w:rFonts w:ascii="Arial" w:hAnsi="Arial"/>
                <w:sz w:val="14"/>
              </w:rPr>
              <w:t>BE top five franchises ~65%</w:t>
            </w:r>
          </w:p>
        </w:tc>
        <w:tc>
          <w:tcPr>
            <w:tcW w:type="dxa" w:w="3600"/>
            <w:shd w:fill="F7F7F7"/>
            <w:tcMar>
              <w:top w:w="55" w:type="dxa"/>
              <w:start w:w="70" w:type="dxa"/>
              <w:bottom w:w="55" w:type="dxa"/>
              <w:end w:w="70" w:type="dxa"/>
            </w:tcMar>
            <w:vAlign w:val="top"/>
          </w:tcPr>
          <w:p>
            <w:pPr>
              <w:spacing w:after="10" w:line="240" w:lineRule="auto"/>
            </w:pPr>
            <w:r>
              <w:rPr>
                <w:rFonts w:ascii="Arial" w:hAnsi="Arial"/>
                <w:sz w:val="14"/>
              </w:rPr>
              <w:t>-1 turn</w:t>
            </w:r>
          </w:p>
        </w:tc>
      </w:tr>
      <w:tr>
        <w:trPr>
          <w:cantSplit/>
        </w:trPr>
        <w:tc>
          <w:tcPr>
            <w:tcW w:type="dxa" w:w="2088"/>
            <w:tcMar>
              <w:top w:w="55" w:type="dxa"/>
              <w:start w:w="70" w:type="dxa"/>
              <w:bottom w:w="55" w:type="dxa"/>
              <w:end w:w="70" w:type="dxa"/>
            </w:tcMar>
            <w:vAlign w:val="top"/>
          </w:tcPr>
          <w:p>
            <w:pPr>
              <w:spacing w:after="10" w:line="240" w:lineRule="auto"/>
            </w:pPr>
            <w:r>
              <w:rPr>
                <w:rFonts w:ascii="Arial" w:hAnsi="Arial"/>
                <w:b/>
                <w:sz w:val="14"/>
              </w:rPr>
              <w:t>Pipeline visibility</w:t>
            </w:r>
          </w:p>
        </w:tc>
        <w:tc>
          <w:tcPr>
            <w:tcW w:type="dxa" w:w="5040"/>
            <w:tcMar>
              <w:top w:w="55" w:type="dxa"/>
              <w:start w:w="70" w:type="dxa"/>
              <w:bottom w:w="55" w:type="dxa"/>
              <w:end w:w="70" w:type="dxa"/>
            </w:tcMar>
            <w:vAlign w:val="top"/>
          </w:tcPr>
          <w:p>
            <w:pPr>
              <w:spacing w:after="10" w:line="240" w:lineRule="auto"/>
            </w:pPr>
            <w:r>
              <w:rPr>
                <w:rFonts w:ascii="Arial" w:hAnsi="Arial"/>
                <w:sz w:val="14"/>
              </w:rPr>
              <w:t>Four launches/candidates, but only two fully de-risked</w:t>
            </w:r>
          </w:p>
        </w:tc>
        <w:tc>
          <w:tcPr>
            <w:tcW w:type="dxa" w:w="3600"/>
            <w:tcMar>
              <w:top w:w="55" w:type="dxa"/>
              <w:start w:w="70" w:type="dxa"/>
              <w:bottom w:w="55" w:type="dxa"/>
              <w:end w:w="70" w:type="dxa"/>
            </w:tcMar>
            <w:vAlign w:val="top"/>
          </w:tcPr>
          <w:p>
            <w:pPr>
              <w:spacing w:after="10" w:line="240" w:lineRule="auto"/>
            </w:pPr>
            <w:r>
              <w:rPr>
                <w:rFonts w:ascii="Arial" w:hAnsi="Arial"/>
                <w:sz w:val="14"/>
              </w:rPr>
              <w:t>-1 turn versus innovation peers</w:t>
            </w:r>
          </w:p>
        </w:tc>
      </w:tr>
      <w:tr>
        <w:trPr>
          <w:cantSplit/>
        </w:trPr>
        <w:tc>
          <w:tcPr>
            <w:tcW w:type="dxa" w:w="2088"/>
            <w:shd w:fill="F7F7F7"/>
            <w:tcMar>
              <w:top w:w="55" w:type="dxa"/>
              <w:start w:w="70" w:type="dxa"/>
              <w:bottom w:w="55" w:type="dxa"/>
              <w:end w:w="70" w:type="dxa"/>
            </w:tcMar>
            <w:vAlign w:val="top"/>
          </w:tcPr>
          <w:p>
            <w:pPr>
              <w:spacing w:after="10" w:line="240" w:lineRule="auto"/>
            </w:pPr>
            <w:r>
              <w:rPr>
                <w:rFonts w:ascii="Arial" w:hAnsi="Arial"/>
                <w:b/>
                <w:sz w:val="14"/>
              </w:rPr>
              <w:t>Governance/access</w:t>
            </w:r>
          </w:p>
        </w:tc>
        <w:tc>
          <w:tcPr>
            <w:tcW w:type="dxa" w:w="5040"/>
            <w:shd w:fill="F7F7F7"/>
            <w:tcMar>
              <w:top w:w="55" w:type="dxa"/>
              <w:start w:w="70" w:type="dxa"/>
              <w:bottom w:w="55" w:type="dxa"/>
              <w:end w:w="70" w:type="dxa"/>
            </w:tcMar>
            <w:vAlign w:val="top"/>
          </w:tcPr>
          <w:p>
            <w:pPr>
              <w:spacing w:after="10" w:line="240" w:lineRule="auto"/>
            </w:pPr>
            <w:r>
              <w:rPr>
                <w:rFonts w:ascii="Arial" w:hAnsi="Arial"/>
                <w:sz w:val="14"/>
              </w:rPr>
              <w:t>No disclosed allocation right</w:t>
            </w:r>
          </w:p>
        </w:tc>
        <w:tc>
          <w:tcPr>
            <w:tcW w:type="dxa" w:w="3600"/>
            <w:shd w:fill="F7F7F7"/>
            <w:tcMar>
              <w:top w:w="55" w:type="dxa"/>
              <w:start w:w="70" w:type="dxa"/>
              <w:bottom w:w="55" w:type="dxa"/>
              <w:end w:w="70" w:type="dxa"/>
            </w:tcMar>
            <w:vAlign w:val="top"/>
          </w:tcPr>
          <w:p>
            <w:pPr>
              <w:spacing w:after="10" w:line="240" w:lineRule="auto"/>
            </w:pPr>
            <w:r>
              <w:rPr>
                <w:rFonts w:ascii="Arial" w:hAnsi="Arial"/>
                <w:sz w:val="14"/>
              </w:rPr>
              <w:t>-2 turns</w:t>
            </w:r>
          </w:p>
        </w:tc>
      </w:tr>
      <w:tr>
        <w:trPr>
          <w:cantSplit/>
        </w:trPr>
        <w:tc>
          <w:tcPr>
            <w:tcW w:type="dxa" w:w="2088"/>
            <w:tcMar>
              <w:top w:w="55" w:type="dxa"/>
              <w:start w:w="70" w:type="dxa"/>
              <w:bottom w:w="55" w:type="dxa"/>
              <w:end w:w="70" w:type="dxa"/>
            </w:tcMar>
            <w:vAlign w:val="top"/>
          </w:tcPr>
          <w:p>
            <w:pPr>
              <w:spacing w:after="10" w:line="240" w:lineRule="auto"/>
            </w:pPr>
            <w:r>
              <w:rPr>
                <w:rFonts w:ascii="Arial" w:hAnsi="Arial"/>
                <w:b/>
                <w:sz w:val="14"/>
              </w:rPr>
              <w:t>Result</w:t>
            </w:r>
          </w:p>
        </w:tc>
        <w:tc>
          <w:tcPr>
            <w:tcW w:type="dxa" w:w="5040"/>
            <w:tcMar>
              <w:top w:w="55" w:type="dxa"/>
              <w:start w:w="70" w:type="dxa"/>
              <w:bottom w:w="55" w:type="dxa"/>
              <w:end w:w="70" w:type="dxa"/>
            </w:tcMar>
            <w:vAlign w:val="top"/>
          </w:tcPr>
          <w:p>
            <w:pPr>
              <w:spacing w:after="10" w:line="240" w:lineRule="auto"/>
            </w:pPr>
            <w:r>
              <w:rPr>
                <w:rFonts w:ascii="Arial" w:hAnsi="Arial"/>
                <w:sz w:val="14"/>
              </w:rPr>
              <w:t>27x FY29E operating EPS</w:t>
            </w:r>
          </w:p>
        </w:tc>
        <w:tc>
          <w:tcPr>
            <w:tcW w:type="dxa" w:w="3600"/>
            <w:tcMar>
              <w:top w:w="55" w:type="dxa"/>
              <w:start w:w="70" w:type="dxa"/>
              <w:bottom w:w="55" w:type="dxa"/>
              <w:end w:w="70" w:type="dxa"/>
            </w:tcMar>
            <w:vAlign w:val="top"/>
          </w:tcPr>
          <w:p>
            <w:pPr>
              <w:spacing w:after="10" w:line="240" w:lineRule="auto"/>
            </w:pPr>
            <w:r>
              <w:rPr>
                <w:rFonts w:ascii="Arial" w:hAnsi="Arial"/>
                <w:sz w:val="14"/>
              </w:rPr>
              <w:t>Numerically justified midpoint</w:t>
            </w:r>
          </w:p>
        </w:tc>
      </w:tr>
    </w:tbl>
    <w:p>
      <w:pPr>
        <w:pStyle w:val="Source"/>
      </w:pPr>
      <w:r>
        <w:t>Source: Market data [S21-S22]; Bernstein interpretation and estimates.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312"/>
            <w:shd w:fill="9B1C31"/>
            <w:tcMar>
              <w:top w:w="55" w:type="dxa"/>
              <w:start w:w="70" w:type="dxa"/>
              <w:bottom w:w="55" w:type="dxa"/>
              <w:end w:w="70" w:type="dxa"/>
            </w:tcMar>
            <w:vAlign w:val="center"/>
          </w:tcPr>
          <w:p>
            <w:pPr>
              <w:spacing w:line="240" w:lineRule="auto" w:after="10"/>
              <w:jc w:val="left"/>
            </w:pPr>
            <w:r>
              <w:rPr>
                <w:rFonts w:ascii="Arial" w:hAnsi="Arial"/>
                <w:b/>
                <w:color w:val="FFFFFF"/>
                <w:sz w:val="16"/>
              </w:rPr>
              <w:t>FY27-FY29 operating case</w:t>
            </w:r>
          </w:p>
        </w:tc>
        <w:tc>
          <w:tcPr>
            <w:tcW w:type="dxa" w:w="2016"/>
            <w:shd w:fill="9B1C31"/>
            <w:tcMar>
              <w:top w:w="55" w:type="dxa"/>
              <w:start w:w="70" w:type="dxa"/>
              <w:bottom w:w="55" w:type="dxa"/>
              <w:end w:w="70" w:type="dxa"/>
            </w:tcMar>
            <w:vAlign w:val="center"/>
          </w:tcPr>
          <w:p>
            <w:pPr>
              <w:spacing w:line="240" w:lineRule="auto" w:after="10"/>
              <w:jc w:val="left"/>
            </w:pPr>
            <w:r>
              <w:rPr>
                <w:rFonts w:ascii="Arial" w:hAnsi="Arial"/>
                <w:b/>
                <w:color w:val="FFFFFF"/>
                <w:sz w:val="16"/>
              </w:rPr>
              <w:t>24x</w:t>
            </w:r>
          </w:p>
        </w:tc>
        <w:tc>
          <w:tcPr>
            <w:tcW w:type="dxa" w:w="2016"/>
            <w:shd w:fill="9B1C31"/>
            <w:tcMar>
              <w:top w:w="55" w:type="dxa"/>
              <w:start w:w="70" w:type="dxa"/>
              <w:bottom w:w="55" w:type="dxa"/>
              <w:end w:w="70" w:type="dxa"/>
            </w:tcMar>
            <w:vAlign w:val="center"/>
          </w:tcPr>
          <w:p>
            <w:pPr>
              <w:spacing w:line="240" w:lineRule="auto" w:after="10"/>
              <w:jc w:val="left"/>
            </w:pPr>
            <w:r>
              <w:rPr>
                <w:rFonts w:ascii="Arial" w:hAnsi="Arial"/>
                <w:b/>
                <w:color w:val="FFFFFF"/>
                <w:sz w:val="16"/>
              </w:rPr>
              <w:t>27x</w:t>
            </w:r>
          </w:p>
        </w:tc>
        <w:tc>
          <w:tcPr>
            <w:tcW w:type="dxa" w:w="2016"/>
            <w:shd w:fill="9B1C31"/>
            <w:tcMar>
              <w:top w:w="55" w:type="dxa"/>
              <w:start w:w="70" w:type="dxa"/>
              <w:bottom w:w="55" w:type="dxa"/>
              <w:end w:w="70" w:type="dxa"/>
            </w:tcMar>
            <w:vAlign w:val="center"/>
          </w:tcPr>
          <w:p>
            <w:pPr>
              <w:spacing w:line="240" w:lineRule="auto" w:after="10"/>
              <w:jc w:val="left"/>
            </w:pPr>
            <w:r>
              <w:rPr>
                <w:rFonts w:ascii="Arial" w:hAnsi="Arial"/>
                <w:b/>
                <w:color w:val="FFFFFF"/>
                <w:sz w:val="16"/>
              </w:rPr>
              <w:t>30x</w:t>
            </w:r>
          </w:p>
        </w:tc>
      </w:tr>
      <w:tr>
        <w:trPr>
          <w:cantSplit/>
        </w:trPr>
        <w:tc>
          <w:tcPr>
            <w:tcW w:type="dxa" w:w="3312"/>
            <w:tcMar>
              <w:top w:w="55" w:type="dxa"/>
              <w:start w:w="70" w:type="dxa"/>
              <w:bottom w:w="55" w:type="dxa"/>
              <w:end w:w="70" w:type="dxa"/>
            </w:tcMar>
            <w:vAlign w:val="top"/>
          </w:tcPr>
          <w:p>
            <w:pPr>
              <w:spacing w:after="10" w:line="240" w:lineRule="auto"/>
            </w:pPr>
            <w:r>
              <w:rPr>
                <w:rFonts w:ascii="Arial" w:hAnsi="Arial"/>
                <w:b/>
                <w:sz w:val="16"/>
              </w:rPr>
              <w:t>5% revenue CAGR</w:t>
            </w:r>
          </w:p>
        </w:tc>
        <w:tc>
          <w:tcPr>
            <w:tcW w:type="dxa" w:w="2016"/>
            <w:tcMar>
              <w:top w:w="55" w:type="dxa"/>
              <w:start w:w="70" w:type="dxa"/>
              <w:bottom w:w="55" w:type="dxa"/>
              <w:end w:w="70" w:type="dxa"/>
            </w:tcMar>
            <w:vAlign w:val="top"/>
          </w:tcPr>
          <w:p>
            <w:pPr>
              <w:spacing w:after="10" w:line="240" w:lineRule="auto"/>
            </w:pPr>
            <w:r>
              <w:rPr>
                <w:rFonts w:ascii="Arial" w:hAnsi="Arial"/>
                <w:sz w:val="16"/>
              </w:rPr>
              <w:t>₹4,560</w:t>
            </w:r>
          </w:p>
        </w:tc>
        <w:tc>
          <w:tcPr>
            <w:tcW w:type="dxa" w:w="2016"/>
            <w:tcMar>
              <w:top w:w="55" w:type="dxa"/>
              <w:start w:w="70" w:type="dxa"/>
              <w:bottom w:w="55" w:type="dxa"/>
              <w:end w:w="70" w:type="dxa"/>
            </w:tcMar>
            <w:vAlign w:val="top"/>
          </w:tcPr>
          <w:p>
            <w:pPr>
              <w:spacing w:after="10" w:line="240" w:lineRule="auto"/>
            </w:pPr>
            <w:r>
              <w:rPr>
                <w:rFonts w:ascii="Arial" w:hAnsi="Arial"/>
                <w:sz w:val="16"/>
              </w:rPr>
              <w:t>₹5,030</w:t>
            </w:r>
          </w:p>
        </w:tc>
        <w:tc>
          <w:tcPr>
            <w:tcW w:type="dxa" w:w="2016"/>
            <w:tcMar>
              <w:top w:w="55" w:type="dxa"/>
              <w:start w:w="70" w:type="dxa"/>
              <w:bottom w:w="55" w:type="dxa"/>
              <w:end w:w="70" w:type="dxa"/>
            </w:tcMar>
            <w:vAlign w:val="top"/>
          </w:tcPr>
          <w:p>
            <w:pPr>
              <w:spacing w:after="10" w:line="240" w:lineRule="auto"/>
            </w:pPr>
            <w:r>
              <w:rPr>
                <w:rFonts w:ascii="Arial" w:hAnsi="Arial"/>
                <w:sz w:val="16"/>
              </w:rPr>
              <w:t>₹5,500</w:t>
            </w:r>
          </w:p>
        </w:tc>
      </w:tr>
      <w:tr>
        <w:trPr>
          <w:cantSplit/>
        </w:trPr>
        <w:tc>
          <w:tcPr>
            <w:tcW w:type="dxa" w:w="3312"/>
            <w:shd w:fill="F7F7F7"/>
            <w:tcMar>
              <w:top w:w="55" w:type="dxa"/>
              <w:start w:w="70" w:type="dxa"/>
              <w:bottom w:w="55" w:type="dxa"/>
              <w:end w:w="70" w:type="dxa"/>
            </w:tcMar>
            <w:vAlign w:val="top"/>
          </w:tcPr>
          <w:p>
            <w:pPr>
              <w:spacing w:after="10" w:line="240" w:lineRule="auto"/>
            </w:pPr>
            <w:r>
              <w:rPr>
                <w:rFonts w:ascii="Arial" w:hAnsi="Arial"/>
                <w:b/>
                <w:sz w:val="16"/>
              </w:rPr>
              <w:t>7% revenue CAGR</w:t>
            </w:r>
          </w:p>
        </w:tc>
        <w:tc>
          <w:tcPr>
            <w:tcW w:type="dxa" w:w="2016"/>
            <w:shd w:fill="F7F7F7"/>
            <w:tcMar>
              <w:top w:w="55" w:type="dxa"/>
              <w:start w:w="70" w:type="dxa"/>
              <w:bottom w:w="55" w:type="dxa"/>
              <w:end w:w="70" w:type="dxa"/>
            </w:tcMar>
            <w:vAlign w:val="top"/>
          </w:tcPr>
          <w:p>
            <w:pPr>
              <w:spacing w:after="10" w:line="240" w:lineRule="auto"/>
            </w:pPr>
            <w:r>
              <w:rPr>
                <w:rFonts w:ascii="Arial" w:hAnsi="Arial"/>
                <w:sz w:val="16"/>
              </w:rPr>
              <w:t>₹4,820</w:t>
            </w:r>
          </w:p>
        </w:tc>
        <w:tc>
          <w:tcPr>
            <w:tcW w:type="dxa" w:w="2016"/>
            <w:shd w:fill="F7F7F7"/>
            <w:tcMar>
              <w:top w:w="55" w:type="dxa"/>
              <w:start w:w="70" w:type="dxa"/>
              <w:bottom w:w="55" w:type="dxa"/>
              <w:end w:w="70" w:type="dxa"/>
            </w:tcMar>
            <w:vAlign w:val="top"/>
          </w:tcPr>
          <w:p>
            <w:pPr>
              <w:spacing w:after="10" w:line="240" w:lineRule="auto"/>
            </w:pPr>
            <w:r>
              <w:rPr>
                <w:rFonts w:ascii="Arial" w:hAnsi="Arial"/>
                <w:sz w:val="16"/>
              </w:rPr>
              <w:t>₹5,330</w:t>
            </w:r>
          </w:p>
        </w:tc>
        <w:tc>
          <w:tcPr>
            <w:tcW w:type="dxa" w:w="2016"/>
            <w:shd w:fill="F7F7F7"/>
            <w:tcMar>
              <w:top w:w="55" w:type="dxa"/>
              <w:start w:w="70" w:type="dxa"/>
              <w:bottom w:w="55" w:type="dxa"/>
              <w:end w:w="70" w:type="dxa"/>
            </w:tcMar>
            <w:vAlign w:val="top"/>
          </w:tcPr>
          <w:p>
            <w:pPr>
              <w:spacing w:after="10" w:line="240" w:lineRule="auto"/>
            </w:pPr>
            <w:r>
              <w:rPr>
                <w:rFonts w:ascii="Arial" w:hAnsi="Arial"/>
                <w:sz w:val="16"/>
              </w:rPr>
              <w:t>₹5,840</w:t>
            </w:r>
          </w:p>
        </w:tc>
      </w:tr>
      <w:tr>
        <w:trPr>
          <w:cantSplit/>
        </w:trPr>
        <w:tc>
          <w:tcPr>
            <w:tcW w:type="dxa" w:w="3312"/>
            <w:tcMar>
              <w:top w:w="55" w:type="dxa"/>
              <w:start w:w="70" w:type="dxa"/>
              <w:bottom w:w="55" w:type="dxa"/>
              <w:end w:w="70" w:type="dxa"/>
            </w:tcMar>
            <w:vAlign w:val="top"/>
          </w:tcPr>
          <w:p>
            <w:pPr>
              <w:spacing w:after="10" w:line="240" w:lineRule="auto"/>
            </w:pPr>
            <w:r>
              <w:rPr>
                <w:rFonts w:ascii="Arial" w:hAnsi="Arial"/>
                <w:b/>
                <w:sz w:val="16"/>
              </w:rPr>
              <w:t>9% revenue CAGR</w:t>
            </w:r>
          </w:p>
        </w:tc>
        <w:tc>
          <w:tcPr>
            <w:tcW w:type="dxa" w:w="2016"/>
            <w:tcMar>
              <w:top w:w="55" w:type="dxa"/>
              <w:start w:w="70" w:type="dxa"/>
              <w:bottom w:w="55" w:type="dxa"/>
              <w:end w:w="70" w:type="dxa"/>
            </w:tcMar>
            <w:vAlign w:val="top"/>
          </w:tcPr>
          <w:p>
            <w:pPr>
              <w:spacing w:after="10" w:line="240" w:lineRule="auto"/>
            </w:pPr>
            <w:r>
              <w:rPr>
                <w:rFonts w:ascii="Arial" w:hAnsi="Arial"/>
                <w:sz w:val="16"/>
              </w:rPr>
              <w:t>₹5,110</w:t>
            </w:r>
          </w:p>
        </w:tc>
        <w:tc>
          <w:tcPr>
            <w:tcW w:type="dxa" w:w="2016"/>
            <w:tcMar>
              <w:top w:w="55" w:type="dxa"/>
              <w:start w:w="70" w:type="dxa"/>
              <w:bottom w:w="55" w:type="dxa"/>
              <w:end w:w="70" w:type="dxa"/>
            </w:tcMar>
            <w:vAlign w:val="top"/>
          </w:tcPr>
          <w:p>
            <w:pPr>
              <w:spacing w:after="10" w:line="240" w:lineRule="auto"/>
            </w:pPr>
            <w:r>
              <w:rPr>
                <w:rFonts w:ascii="Arial" w:hAnsi="Arial"/>
                <w:sz w:val="16"/>
              </w:rPr>
              <w:t>₹5,650</w:t>
            </w:r>
          </w:p>
        </w:tc>
        <w:tc>
          <w:tcPr>
            <w:tcW w:type="dxa" w:w="2016"/>
            <w:tcMar>
              <w:top w:w="55" w:type="dxa"/>
              <w:start w:w="70" w:type="dxa"/>
              <w:bottom w:w="55" w:type="dxa"/>
              <w:end w:w="70" w:type="dxa"/>
            </w:tcMar>
            <w:vAlign w:val="top"/>
          </w:tcPr>
          <w:p>
            <w:pPr>
              <w:spacing w:after="10" w:line="240" w:lineRule="auto"/>
            </w:pPr>
            <w:r>
              <w:rPr>
                <w:rFonts w:ascii="Arial" w:hAnsi="Arial"/>
                <w:sz w:val="16"/>
              </w:rPr>
              <w:t>₹6,200</w:t>
            </w:r>
          </w:p>
        </w:tc>
      </w:tr>
    </w:tbl>
    <w:p>
      <w:pPr>
        <w:pStyle w:val="ExhibitTitle"/>
      </w:pPr>
      <w:r>
        <w:t>Exhibit 18. Valuation sensitivity is driven more by the operating multiple than by near-term growth</w:t>
      </w:r>
    </w:p>
    <w:p>
      <w:r>
        <w:rPr>
          <w:color w:val="59636E"/>
          <w:sz w:val="15"/>
        </w:rPr>
        <w:t>Every case adds ₹765/share FY29E excess cash. No parent-product transfer value is included.</w:t>
      </w:r>
    </w:p>
    <w:p>
      <w:pPr>
        <w:pStyle w:val="Source"/>
      </w:pPr>
      <w:r>
        <w:t>Source: Bernstein estimates. Current reference price ₹4,014 [S21].</w:t>
      </w:r>
    </w:p>
    <w:p>
      <w:pPr>
        <w:pStyle w:val="Heading2"/>
      </w:pPr>
      <w:r>
        <w:t>Historical P/E exhibit: specified, not populated</w:t>
      </w:r>
    </w:p>
    <w:p>
      <w:r>
        <w:t>A ten-year monthly historical P/E band should show price divided by trailing core EPS, with FY17, FY23 and FY25 exceptional gains removed. Reliable monthly Bloomberg/FactSet history was not available in the source set, so the exhibit is deliberately not populated. Required fields: month-end price, trailing reported EPS, trailing core EPS, and event flags for Upjohn, Thane and special dividends.</w:t>
      </w:r>
    </w:p>
    <w:p>
      <w:pPr>
        <w:pStyle w:val="Heading1"/>
      </w:pPr>
      <w:r>
        <w:t>PART X: Final investor framework</w:t>
      </w:r>
    </w:p>
    <w:p>
      <w:pPr>
        <w:pStyle w:val="Heading2"/>
      </w:pPr>
      <w:r>
        <w:t>Investment thesis</w:t>
      </w:r>
    </w:p>
    <w:p>
      <w:pPr>
        <w:pStyle w:val="ListBullet"/>
        <w:spacing w:after="30"/>
        <w:ind w:left="259" w:hanging="173"/>
      </w:pPr>
      <w:r>
        <w:rPr>
          <w:b/>
        </w:rPr>
        <w:t xml:space="preserve">1. Core earnings are better than reported FY26 PAT. </w:t>
      </w:r>
      <w:r>
        <w:t>Product sales rose 11.7% and core PBT rose 21.5%. The ₹49.16 crore restructuring/labour charge obscured operating leverage. [S1]</w:t>
      </w:r>
    </w:p>
    <w:p>
      <w:pPr>
        <w:pStyle w:val="ListBullet"/>
        <w:spacing w:after="30"/>
        <w:ind w:left="259" w:hanging="173"/>
      </w:pPr>
      <w:r>
        <w:rPr>
          <w:b/>
        </w:rPr>
        <w:t xml:space="preserve">2. Growth is concentrated but credible. </w:t>
      </w:r>
      <w:r>
        <w:t>Prevenar 20, Eliquis, Zavicefta/Emblaveo and Nurtec address large or underpenetrated clinical needs, and the company has existing specialist infrastructure. [S1, S4]</w:t>
      </w:r>
    </w:p>
    <w:p>
      <w:pPr>
        <w:pStyle w:val="ListBullet"/>
        <w:spacing w:after="30"/>
        <w:ind w:left="259" w:hanging="173"/>
      </w:pPr>
      <w:r>
        <w:rPr>
          <w:b/>
        </w:rPr>
        <w:t xml:space="preserve">3. Cash is real, but it is not a growth strategy. </w:t>
      </w:r>
      <w:r>
        <w:t>₹3,110.8 crore of cash and bank balances provides dividend support and acquisition capacity. Without a disclosed use, it should be separated from operating value. [S1]</w:t>
      </w:r>
    </w:p>
    <w:p>
      <w:pPr>
        <w:pStyle w:val="ListBullet"/>
        <w:spacing w:after="30"/>
        <w:ind w:left="259" w:hanging="173"/>
      </w:pPr>
      <w:r>
        <w:rPr>
          <w:b/>
        </w:rPr>
        <w:t xml:space="preserve">4. Minority shareholders own selected Pfizer economics, not Pfizer India as a whole. </w:t>
      </w:r>
      <w:r>
        <w:t>Private-affiliate labels and related-party notes prove the separation. This caps the justified multiple. [S1, S9-S15]</w:t>
      </w:r>
    </w:p>
    <w:p>
      <w:pPr>
        <w:pStyle w:val="ListBullet"/>
        <w:spacing w:after="30"/>
        <w:ind w:left="259" w:hanging="173"/>
      </w:pPr>
      <w:r>
        <w:rPr>
          <w:b/>
        </w:rPr>
        <w:t xml:space="preserve">5. The September 2026 price embeds too much mature-brand fear. </w:t>
      </w:r>
      <w:r>
        <w:t>At approximately 25x FY26 EPS and with ₹680/share cash, the stock can deliver acceptable upside on 6%-7% growth without private transfers. [S1, S21]</w:t>
      </w:r>
    </w:p>
    <w:p>
      <w:pPr>
        <w:pStyle w:val="Heading2"/>
      </w:pPr>
      <w:r>
        <w:t>What must go right</w:t>
      </w:r>
    </w:p>
    <w:p>
      <w:pPr>
        <w:pStyle w:val="ListBullet"/>
        <w:spacing w:after="30"/>
        <w:ind w:left="259" w:hanging="173"/>
      </w:pPr>
      <w:r>
        <w:t>Prevenar 20 sustains adult adoption without cannibalising higher-value PCV13 economics.</w:t>
      </w:r>
    </w:p>
    <w:p>
      <w:pPr>
        <w:pStyle w:val="ListBullet"/>
        <w:spacing w:after="30"/>
        <w:ind w:left="259" w:hanging="173"/>
      </w:pPr>
      <w:r>
        <w:t>Eliquis maintains share despite molecule-level genericisation and price pressure.</w:t>
      </w:r>
    </w:p>
    <w:p>
      <w:pPr>
        <w:pStyle w:val="ListBullet"/>
        <w:spacing w:after="30"/>
        <w:ind w:left="259" w:hanging="173"/>
      </w:pPr>
      <w:r>
        <w:t>Zavicefta, Magnex and Emblaveo grow within stewardship guardrails.</w:t>
      </w:r>
    </w:p>
    <w:p>
      <w:pPr>
        <w:pStyle w:val="ListBullet"/>
        <w:spacing w:after="30"/>
        <w:ind w:left="259" w:hanging="173"/>
      </w:pPr>
      <w:r>
        <w:t>Cipla and GoApptiv partnerships preserve listed revenue while lowering field-force intensity.</w:t>
      </w:r>
    </w:p>
    <w:p>
      <w:pPr>
        <w:pStyle w:val="ListBullet"/>
        <w:spacing w:after="30"/>
        <w:ind w:left="259" w:hanging="173"/>
      </w:pPr>
      <w:r>
        <w:t>Gross margin remains near 65% despite import mix and related-party purchases.</w:t>
      </w:r>
    </w:p>
    <w:p>
      <w:pPr>
        <w:pStyle w:val="ListBullet"/>
        <w:spacing w:after="30"/>
        <w:ind w:left="259" w:hanging="173"/>
      </w:pPr>
      <w:r>
        <w:t>Cash is returned or deployed into attributable products, not left structurally idle.</w:t>
      </w:r>
    </w:p>
    <w:p>
      <w:pPr>
        <w:pStyle w:val="Heading2"/>
      </w:pPr>
      <w:r>
        <w:t>What can go wrong</w:t>
      </w:r>
    </w:p>
    <w:p>
      <w:pPr>
        <w:pStyle w:val="ListBullet"/>
        <w:spacing w:after="30"/>
        <w:ind w:left="259" w:hanging="173"/>
      </w:pPr>
      <w:r>
        <w:t>Another parent supply or IP decision removes a listed brand after Minipress.</w:t>
      </w:r>
    </w:p>
    <w:p>
      <w:pPr>
        <w:pStyle w:val="ListBullet"/>
        <w:spacing w:after="30"/>
        <w:ind w:left="259" w:hanging="173"/>
      </w:pPr>
      <w:r>
        <w:t>Prevenar growth slows as affordability, competition or public procurement shifts the market.</w:t>
      </w:r>
    </w:p>
    <w:p>
      <w:pPr>
        <w:pStyle w:val="ListBullet"/>
        <w:spacing w:after="30"/>
        <w:ind w:left="259" w:hanging="173"/>
      </w:pPr>
      <w:r>
        <w:t>Hospital launches underperform because of institutional access, stewardship or supply.</w:t>
      </w:r>
    </w:p>
    <w:p>
      <w:pPr>
        <w:pStyle w:val="ListBullet"/>
        <w:spacing w:after="30"/>
        <w:ind w:left="259" w:hanging="173"/>
      </w:pPr>
      <w:r>
        <w:t>Private affiliates retain the highest-growth oncology, rare-disease and immunology assets.</w:t>
      </w:r>
    </w:p>
    <w:p>
      <w:pPr>
        <w:pStyle w:val="ListBullet"/>
        <w:spacing w:after="30"/>
        <w:ind w:left="259" w:hanging="173"/>
      </w:pPr>
      <w:r>
        <w:t>DPCO matters settle adversely or more products enter NLEM control.</w:t>
      </w:r>
    </w:p>
    <w:p>
      <w:pPr>
        <w:pStyle w:val="ListBullet"/>
        <w:spacing w:after="30"/>
        <w:ind w:left="259" w:hanging="173"/>
      </w:pPr>
      <w:r>
        <w:t>The market de-rates the company toward Sanofi if launch cadence fades.</w:t>
      </w:r>
    </w:p>
    <w:p>
      <w:pPr>
        <w:pStyle w:val="Heading2"/>
      </w:pPr>
      <w:r>
        <w:t>Catalysts</w:t>
      </w:r>
    </w:p>
    <w:p>
      <w:pPr>
        <w:pStyle w:val="ListBullet"/>
        <w:spacing w:after="30"/>
        <w:ind w:left="259" w:hanging="173"/>
      </w:pPr>
      <w:r>
        <w:t>Prevenar 20 volume/share disclosure and adult vaccination expansion.</w:t>
      </w:r>
    </w:p>
    <w:p>
      <w:pPr>
        <w:pStyle w:val="ListBullet"/>
        <w:spacing w:after="30"/>
        <w:ind w:left="259" w:hanging="173"/>
      </w:pPr>
      <w:r>
        <w:t>Material Nurtec or Emblaveo contribution quantified in filings.</w:t>
      </w:r>
    </w:p>
    <w:p>
      <w:pPr>
        <w:pStyle w:val="ListBullet"/>
        <w:spacing w:after="30"/>
        <w:ind w:left="259" w:hanging="173"/>
      </w:pPr>
      <w:r>
        <w:t>CDSCO approval and explicit marketer identification for Abrysvo.</w:t>
      </w:r>
    </w:p>
    <w:p>
      <w:pPr>
        <w:pStyle w:val="ListBullet"/>
        <w:spacing w:after="30"/>
        <w:ind w:left="259" w:hanging="173"/>
      </w:pPr>
      <w:r>
        <w:t>A factual parent-product allocation framework or asset transfer to Pfizer Limited.</w:t>
      </w:r>
    </w:p>
    <w:p>
      <w:pPr>
        <w:pStyle w:val="ListBullet"/>
        <w:spacing w:after="30"/>
        <w:ind w:left="259" w:hanging="173"/>
      </w:pPr>
      <w:r>
        <w:t>FY27 core margin sustained after partner-led field-force restructuring.</w:t>
      </w:r>
    </w:p>
    <w:p>
      <w:pPr>
        <w:pStyle w:val="ListBullet"/>
        <w:spacing w:after="30"/>
        <w:ind w:left="259" w:hanging="173"/>
      </w:pPr>
      <w:r>
        <w:t>A special dividend, buyback or defined excess-cash policy.</w:t>
      </w:r>
    </w:p>
    <w:p>
      <w:pPr>
        <w:pStyle w:val="ListBullet"/>
        <w:spacing w:after="30"/>
        <w:ind w:left="259" w:hanging="173"/>
      </w:pPr>
      <w:r>
        <w:t>Resolution of major DPCO matters below the contingent amount.</w:t>
      </w:r>
    </w:p>
    <w:p>
      <w:pPr>
        <w:pStyle w:val="Heading2"/>
      </w:pPr>
      <w:r>
        <w:t>Quarterly signposts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Theme</w:t>
            </w:r>
          </w:p>
        </w:tc>
        <w:tc>
          <w:tcPr>
            <w:tcW w:type="dxa" w:w="4464"/>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Metric</w:t>
            </w:r>
          </w:p>
        </w:tc>
        <w:tc>
          <w:tcPr>
            <w:tcW w:type="dxa" w:w="2592"/>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Source</w:t>
            </w:r>
          </w:p>
        </w:tc>
        <w:tc>
          <w:tcPr>
            <w:tcW w:type="dxa" w:w="1584"/>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Frequency</w:t>
            </w:r>
          </w:p>
        </w:tc>
      </w:tr>
      <w:tr>
        <w:trPr>
          <w:cantSplit/>
        </w:trPr>
        <w:tc>
          <w:tcPr>
            <w:tcW w:type="dxa" w:w="1800"/>
            <w:tcMar>
              <w:top w:w="55" w:type="dxa"/>
              <w:start w:w="70" w:type="dxa"/>
              <w:bottom w:w="55" w:type="dxa"/>
              <w:end w:w="70" w:type="dxa"/>
            </w:tcMar>
            <w:vAlign w:val="top"/>
          </w:tcPr>
          <w:p>
            <w:pPr>
              <w:spacing w:after="10" w:line="240" w:lineRule="auto"/>
            </w:pPr>
            <w:r>
              <w:rPr>
                <w:rFonts w:ascii="Arial" w:hAnsi="Arial"/>
                <w:b/>
                <w:sz w:val="14"/>
              </w:rPr>
              <w:t>Product growth</w:t>
            </w:r>
          </w:p>
        </w:tc>
        <w:tc>
          <w:tcPr>
            <w:tcW w:type="dxa" w:w="4464"/>
            <w:tcMar>
              <w:top w:w="55" w:type="dxa"/>
              <w:start w:w="70" w:type="dxa"/>
              <w:bottom w:w="55" w:type="dxa"/>
              <w:end w:w="70" w:type="dxa"/>
            </w:tcMar>
            <w:vAlign w:val="top"/>
          </w:tcPr>
          <w:p>
            <w:pPr>
              <w:spacing w:after="10" w:line="240" w:lineRule="auto"/>
            </w:pPr>
            <w:r>
              <w:rPr>
                <w:rFonts w:ascii="Arial" w:hAnsi="Arial"/>
                <w:sz w:val="14"/>
              </w:rPr>
              <w:t>Prevenar 20 share/volumes; Eliquis share; hospital portfolio growth</w:t>
            </w:r>
          </w:p>
        </w:tc>
        <w:tc>
          <w:tcPr>
            <w:tcW w:type="dxa" w:w="2592"/>
            <w:tcMar>
              <w:top w:w="55" w:type="dxa"/>
              <w:start w:w="70" w:type="dxa"/>
              <w:bottom w:w="55" w:type="dxa"/>
              <w:end w:w="70" w:type="dxa"/>
            </w:tcMar>
            <w:vAlign w:val="top"/>
          </w:tcPr>
          <w:p>
            <w:pPr>
              <w:spacing w:after="10" w:line="240" w:lineRule="auto"/>
            </w:pPr>
            <w:r>
              <w:rPr>
                <w:rFonts w:ascii="Arial" w:hAnsi="Arial"/>
                <w:sz w:val="14"/>
              </w:rPr>
              <w:t>Company/IQVIA</w:t>
            </w:r>
          </w:p>
        </w:tc>
        <w:tc>
          <w:tcPr>
            <w:tcW w:type="dxa" w:w="1584"/>
            <w:tcMar>
              <w:top w:w="55" w:type="dxa"/>
              <w:start w:w="70" w:type="dxa"/>
              <w:bottom w:w="55" w:type="dxa"/>
              <w:end w:w="70" w:type="dxa"/>
            </w:tcMar>
            <w:vAlign w:val="top"/>
          </w:tcPr>
          <w:p>
            <w:pPr>
              <w:spacing w:after="10" w:line="240" w:lineRule="auto"/>
            </w:pPr>
            <w:r>
              <w:rPr>
                <w:rFonts w:ascii="Arial" w:hAnsi="Arial"/>
                <w:sz w:val="14"/>
              </w:rPr>
              <w:t>Quarterly or MAT</w:t>
            </w:r>
          </w:p>
        </w:tc>
      </w:tr>
      <w:tr>
        <w:trPr>
          <w:cantSplit/>
        </w:trPr>
        <w:tc>
          <w:tcPr>
            <w:tcW w:type="dxa" w:w="1800"/>
            <w:shd w:fill="F7F7F7"/>
            <w:tcMar>
              <w:top w:w="55" w:type="dxa"/>
              <w:start w:w="70" w:type="dxa"/>
              <w:bottom w:w="55" w:type="dxa"/>
              <w:end w:w="70" w:type="dxa"/>
            </w:tcMar>
            <w:vAlign w:val="top"/>
          </w:tcPr>
          <w:p>
            <w:pPr>
              <w:spacing w:after="10" w:line="240" w:lineRule="auto"/>
            </w:pPr>
            <w:r>
              <w:rPr>
                <w:rFonts w:ascii="Arial" w:hAnsi="Arial"/>
                <w:b/>
                <w:sz w:val="14"/>
              </w:rPr>
              <w:t>Launch contribution</w:t>
            </w:r>
          </w:p>
        </w:tc>
        <w:tc>
          <w:tcPr>
            <w:tcW w:type="dxa" w:w="4464"/>
            <w:shd w:fill="F7F7F7"/>
            <w:tcMar>
              <w:top w:w="55" w:type="dxa"/>
              <w:start w:w="70" w:type="dxa"/>
              <w:bottom w:w="55" w:type="dxa"/>
              <w:end w:w="70" w:type="dxa"/>
            </w:tcMar>
            <w:vAlign w:val="top"/>
          </w:tcPr>
          <w:p>
            <w:pPr>
              <w:spacing w:after="10" w:line="240" w:lineRule="auto"/>
            </w:pPr>
            <w:r>
              <w:rPr>
                <w:rFonts w:ascii="Arial" w:hAnsi="Arial"/>
                <w:sz w:val="14"/>
              </w:rPr>
              <w:t>Nurtec and Emblaveo revenue or prescription proxies</w:t>
            </w:r>
          </w:p>
        </w:tc>
        <w:tc>
          <w:tcPr>
            <w:tcW w:type="dxa" w:w="2592"/>
            <w:shd w:fill="F7F7F7"/>
            <w:tcMar>
              <w:top w:w="55" w:type="dxa"/>
              <w:start w:w="70" w:type="dxa"/>
              <w:bottom w:w="55" w:type="dxa"/>
              <w:end w:w="70" w:type="dxa"/>
            </w:tcMar>
            <w:vAlign w:val="top"/>
          </w:tcPr>
          <w:p>
            <w:pPr>
              <w:spacing w:after="10" w:line="240" w:lineRule="auto"/>
            </w:pPr>
            <w:r>
              <w:rPr>
                <w:rFonts w:ascii="Arial" w:hAnsi="Arial"/>
                <w:sz w:val="14"/>
              </w:rPr>
              <w:t>Company</w:t>
            </w:r>
          </w:p>
        </w:tc>
        <w:tc>
          <w:tcPr>
            <w:tcW w:type="dxa" w:w="1584"/>
            <w:shd w:fill="F7F7F7"/>
            <w:tcMar>
              <w:top w:w="55" w:type="dxa"/>
              <w:start w:w="70" w:type="dxa"/>
              <w:bottom w:w="55" w:type="dxa"/>
              <w:end w:w="70" w:type="dxa"/>
            </w:tcMar>
            <w:vAlign w:val="top"/>
          </w:tcPr>
          <w:p>
            <w:pPr>
              <w:spacing w:after="10" w:line="240" w:lineRule="auto"/>
            </w:pPr>
            <w:r>
              <w:rPr>
                <w:rFonts w:ascii="Arial" w:hAnsi="Arial"/>
                <w:sz w:val="14"/>
              </w:rPr>
              <w:t>Quarterly</w:t>
            </w:r>
          </w:p>
        </w:tc>
      </w:tr>
      <w:tr>
        <w:trPr>
          <w:cantSplit/>
        </w:trPr>
        <w:tc>
          <w:tcPr>
            <w:tcW w:type="dxa" w:w="1800"/>
            <w:tcMar>
              <w:top w:w="55" w:type="dxa"/>
              <w:start w:w="70" w:type="dxa"/>
              <w:bottom w:w="55" w:type="dxa"/>
              <w:end w:w="70" w:type="dxa"/>
            </w:tcMar>
            <w:vAlign w:val="top"/>
          </w:tcPr>
          <w:p>
            <w:pPr>
              <w:spacing w:after="10" w:line="240" w:lineRule="auto"/>
            </w:pPr>
            <w:r>
              <w:rPr>
                <w:rFonts w:ascii="Arial" w:hAnsi="Arial"/>
                <w:b/>
                <w:sz w:val="14"/>
              </w:rPr>
              <w:t>Perimeter</w:t>
            </w:r>
          </w:p>
        </w:tc>
        <w:tc>
          <w:tcPr>
            <w:tcW w:type="dxa" w:w="4464"/>
            <w:tcMar>
              <w:top w:w="55" w:type="dxa"/>
              <w:start w:w="70" w:type="dxa"/>
              <w:bottom w:w="55" w:type="dxa"/>
              <w:end w:w="70" w:type="dxa"/>
            </w:tcMar>
            <w:vAlign w:val="top"/>
          </w:tcPr>
          <w:p>
            <w:pPr>
              <w:spacing w:after="10" w:line="240" w:lineRule="auto"/>
            </w:pPr>
            <w:r>
              <w:rPr>
                <w:rFonts w:ascii="Arial" w:hAnsi="Arial"/>
                <w:sz w:val="14"/>
              </w:rPr>
              <w:t>New labels/price-list entries naming Pfizer Limited versus PPIPL</w:t>
            </w:r>
          </w:p>
        </w:tc>
        <w:tc>
          <w:tcPr>
            <w:tcW w:type="dxa" w:w="2592"/>
            <w:tcMar>
              <w:top w:w="55" w:type="dxa"/>
              <w:start w:w="70" w:type="dxa"/>
              <w:bottom w:w="55" w:type="dxa"/>
              <w:end w:w="70" w:type="dxa"/>
            </w:tcMar>
            <w:vAlign w:val="top"/>
          </w:tcPr>
          <w:p>
            <w:pPr>
              <w:spacing w:after="10" w:line="240" w:lineRule="auto"/>
            </w:pPr>
            <w:r>
              <w:rPr>
                <w:rFonts w:ascii="Arial" w:hAnsi="Arial"/>
                <w:sz w:val="14"/>
              </w:rPr>
              <w:t>CDSCO/company labels</w:t>
            </w:r>
          </w:p>
        </w:tc>
        <w:tc>
          <w:tcPr>
            <w:tcW w:type="dxa" w:w="1584"/>
            <w:tcMar>
              <w:top w:w="55" w:type="dxa"/>
              <w:start w:w="70" w:type="dxa"/>
              <w:bottom w:w="55" w:type="dxa"/>
              <w:end w:w="70" w:type="dxa"/>
            </w:tcMar>
            <w:vAlign w:val="top"/>
          </w:tcPr>
          <w:p>
            <w:pPr>
              <w:spacing w:after="10" w:line="240" w:lineRule="auto"/>
            </w:pPr>
            <w:r>
              <w:rPr>
                <w:rFonts w:ascii="Arial" w:hAnsi="Arial"/>
                <w:sz w:val="14"/>
              </w:rPr>
              <w:t>Continuous</w:t>
            </w:r>
          </w:p>
        </w:tc>
      </w:tr>
      <w:tr>
        <w:trPr>
          <w:cantSplit/>
        </w:trPr>
        <w:tc>
          <w:tcPr>
            <w:tcW w:type="dxa" w:w="1800"/>
            <w:shd w:fill="F7F7F7"/>
            <w:tcMar>
              <w:top w:w="55" w:type="dxa"/>
              <w:start w:w="70" w:type="dxa"/>
              <w:bottom w:w="55" w:type="dxa"/>
              <w:end w:w="70" w:type="dxa"/>
            </w:tcMar>
            <w:vAlign w:val="top"/>
          </w:tcPr>
          <w:p>
            <w:pPr>
              <w:spacing w:after="10" w:line="240" w:lineRule="auto"/>
            </w:pPr>
            <w:r>
              <w:rPr>
                <w:rFonts w:ascii="Arial" w:hAnsi="Arial"/>
                <w:b/>
                <w:sz w:val="14"/>
              </w:rPr>
              <w:t>Related-party economics</w:t>
            </w:r>
          </w:p>
        </w:tc>
        <w:tc>
          <w:tcPr>
            <w:tcW w:type="dxa" w:w="4464"/>
            <w:shd w:fill="F7F7F7"/>
            <w:tcMar>
              <w:top w:w="55" w:type="dxa"/>
              <w:start w:w="70" w:type="dxa"/>
              <w:bottom w:w="55" w:type="dxa"/>
              <w:end w:w="70" w:type="dxa"/>
            </w:tcMar>
            <w:vAlign w:val="top"/>
          </w:tcPr>
          <w:p>
            <w:pPr>
              <w:spacing w:after="10" w:line="240" w:lineRule="auto"/>
            </w:pPr>
            <w:r>
              <w:rPr>
                <w:rFonts w:ascii="Arial" w:hAnsi="Arial"/>
                <w:sz w:val="14"/>
              </w:rPr>
              <w:t>Stock-in-trade purchases and affiliate service income</w:t>
            </w:r>
          </w:p>
        </w:tc>
        <w:tc>
          <w:tcPr>
            <w:tcW w:type="dxa" w:w="2592"/>
            <w:shd w:fill="F7F7F7"/>
            <w:tcMar>
              <w:top w:w="55" w:type="dxa"/>
              <w:start w:w="70" w:type="dxa"/>
              <w:bottom w:w="55" w:type="dxa"/>
              <w:end w:w="70" w:type="dxa"/>
            </w:tcMar>
            <w:vAlign w:val="top"/>
          </w:tcPr>
          <w:p>
            <w:pPr>
              <w:spacing w:after="10" w:line="240" w:lineRule="auto"/>
            </w:pPr>
            <w:r>
              <w:rPr>
                <w:rFonts w:ascii="Arial" w:hAnsi="Arial"/>
                <w:sz w:val="14"/>
              </w:rPr>
              <w:t>Results/annual report</w:t>
            </w:r>
          </w:p>
        </w:tc>
        <w:tc>
          <w:tcPr>
            <w:tcW w:type="dxa" w:w="1584"/>
            <w:shd w:fill="F7F7F7"/>
            <w:tcMar>
              <w:top w:w="55" w:type="dxa"/>
              <w:start w:w="70" w:type="dxa"/>
              <w:bottom w:w="55" w:type="dxa"/>
              <w:end w:w="70" w:type="dxa"/>
            </w:tcMar>
            <w:vAlign w:val="top"/>
          </w:tcPr>
          <w:p>
            <w:pPr>
              <w:spacing w:after="10" w:line="240" w:lineRule="auto"/>
            </w:pPr>
            <w:r>
              <w:rPr>
                <w:rFonts w:ascii="Arial" w:hAnsi="Arial"/>
                <w:sz w:val="14"/>
              </w:rPr>
              <w:t>Half-year/annual</w:t>
            </w:r>
          </w:p>
        </w:tc>
      </w:tr>
      <w:tr>
        <w:trPr>
          <w:cantSplit/>
        </w:trPr>
        <w:tc>
          <w:tcPr>
            <w:tcW w:type="dxa" w:w="1800"/>
            <w:tcMar>
              <w:top w:w="55" w:type="dxa"/>
              <w:start w:w="70" w:type="dxa"/>
              <w:bottom w:w="55" w:type="dxa"/>
              <w:end w:w="70" w:type="dxa"/>
            </w:tcMar>
            <w:vAlign w:val="top"/>
          </w:tcPr>
          <w:p>
            <w:pPr>
              <w:spacing w:after="10" w:line="240" w:lineRule="auto"/>
            </w:pPr>
            <w:r>
              <w:rPr>
                <w:rFonts w:ascii="Arial" w:hAnsi="Arial"/>
                <w:b/>
                <w:sz w:val="14"/>
              </w:rPr>
              <w:t>Margins</w:t>
            </w:r>
          </w:p>
        </w:tc>
        <w:tc>
          <w:tcPr>
            <w:tcW w:type="dxa" w:w="4464"/>
            <w:tcMar>
              <w:top w:w="55" w:type="dxa"/>
              <w:start w:w="70" w:type="dxa"/>
              <w:bottom w:w="55" w:type="dxa"/>
              <w:end w:w="70" w:type="dxa"/>
            </w:tcMar>
            <w:vAlign w:val="top"/>
          </w:tcPr>
          <w:p>
            <w:pPr>
              <w:spacing w:after="10" w:line="240" w:lineRule="auto"/>
            </w:pPr>
            <w:r>
              <w:rPr>
                <w:rFonts w:ascii="Arial" w:hAnsi="Arial"/>
                <w:sz w:val="14"/>
              </w:rPr>
              <w:t>Gross margin and operating EBITDA margin</w:t>
            </w:r>
          </w:p>
        </w:tc>
        <w:tc>
          <w:tcPr>
            <w:tcW w:type="dxa" w:w="2592"/>
            <w:tcMar>
              <w:top w:w="55" w:type="dxa"/>
              <w:start w:w="70" w:type="dxa"/>
              <w:bottom w:w="55" w:type="dxa"/>
              <w:end w:w="70" w:type="dxa"/>
            </w:tcMar>
            <w:vAlign w:val="top"/>
          </w:tcPr>
          <w:p>
            <w:pPr>
              <w:spacing w:after="10" w:line="240" w:lineRule="auto"/>
            </w:pPr>
            <w:r>
              <w:rPr>
                <w:rFonts w:ascii="Arial" w:hAnsi="Arial"/>
                <w:sz w:val="14"/>
              </w:rPr>
              <w:t>Calculated from results</w:t>
            </w:r>
          </w:p>
        </w:tc>
        <w:tc>
          <w:tcPr>
            <w:tcW w:type="dxa" w:w="1584"/>
            <w:tcMar>
              <w:top w:w="55" w:type="dxa"/>
              <w:start w:w="70" w:type="dxa"/>
              <w:bottom w:w="55" w:type="dxa"/>
              <w:end w:w="70" w:type="dxa"/>
            </w:tcMar>
            <w:vAlign w:val="top"/>
          </w:tcPr>
          <w:p>
            <w:pPr>
              <w:spacing w:after="10" w:line="240" w:lineRule="auto"/>
            </w:pPr>
            <w:r>
              <w:rPr>
                <w:rFonts w:ascii="Arial" w:hAnsi="Arial"/>
                <w:sz w:val="14"/>
              </w:rPr>
              <w:t>Quarterly</w:t>
            </w:r>
          </w:p>
        </w:tc>
      </w:tr>
      <w:tr>
        <w:trPr>
          <w:cantSplit/>
        </w:trPr>
        <w:tc>
          <w:tcPr>
            <w:tcW w:type="dxa" w:w="1800"/>
            <w:shd w:fill="F7F7F7"/>
            <w:tcMar>
              <w:top w:w="55" w:type="dxa"/>
              <w:start w:w="70" w:type="dxa"/>
              <w:bottom w:w="55" w:type="dxa"/>
              <w:end w:w="70" w:type="dxa"/>
            </w:tcMar>
            <w:vAlign w:val="top"/>
          </w:tcPr>
          <w:p>
            <w:pPr>
              <w:spacing w:after="10" w:line="240" w:lineRule="auto"/>
            </w:pPr>
            <w:r>
              <w:rPr>
                <w:rFonts w:ascii="Arial" w:hAnsi="Arial"/>
                <w:b/>
                <w:sz w:val="14"/>
              </w:rPr>
              <w:t>Commercial investment</w:t>
            </w:r>
          </w:p>
        </w:tc>
        <w:tc>
          <w:tcPr>
            <w:tcW w:type="dxa" w:w="4464"/>
            <w:shd w:fill="F7F7F7"/>
            <w:tcMar>
              <w:top w:w="55" w:type="dxa"/>
              <w:start w:w="70" w:type="dxa"/>
              <w:bottom w:w="55" w:type="dxa"/>
              <w:end w:w="70" w:type="dxa"/>
            </w:tcMar>
            <w:vAlign w:val="top"/>
          </w:tcPr>
          <w:p>
            <w:pPr>
              <w:spacing w:after="10" w:line="240" w:lineRule="auto"/>
            </w:pPr>
            <w:r>
              <w:rPr>
                <w:rFonts w:ascii="Arial" w:hAnsi="Arial"/>
                <w:sz w:val="14"/>
              </w:rPr>
              <w:t>Employee cost and permanent employee/field-force changes</w:t>
            </w:r>
          </w:p>
        </w:tc>
        <w:tc>
          <w:tcPr>
            <w:tcW w:type="dxa" w:w="2592"/>
            <w:shd w:fill="F7F7F7"/>
            <w:tcMar>
              <w:top w:w="55" w:type="dxa"/>
              <w:start w:w="70" w:type="dxa"/>
              <w:bottom w:w="55" w:type="dxa"/>
              <w:end w:w="70" w:type="dxa"/>
            </w:tcMar>
            <w:vAlign w:val="top"/>
          </w:tcPr>
          <w:p>
            <w:pPr>
              <w:spacing w:after="10" w:line="240" w:lineRule="auto"/>
            </w:pPr>
            <w:r>
              <w:rPr>
                <w:rFonts w:ascii="Arial" w:hAnsi="Arial"/>
                <w:sz w:val="14"/>
              </w:rPr>
              <w:t>Results/BRSR</w:t>
            </w:r>
          </w:p>
        </w:tc>
        <w:tc>
          <w:tcPr>
            <w:tcW w:type="dxa" w:w="1584"/>
            <w:shd w:fill="F7F7F7"/>
            <w:tcMar>
              <w:top w:w="55" w:type="dxa"/>
              <w:start w:w="70" w:type="dxa"/>
              <w:bottom w:w="55" w:type="dxa"/>
              <w:end w:w="70" w:type="dxa"/>
            </w:tcMar>
            <w:vAlign w:val="top"/>
          </w:tcPr>
          <w:p>
            <w:pPr>
              <w:spacing w:after="10" w:line="240" w:lineRule="auto"/>
            </w:pPr>
            <w:r>
              <w:rPr>
                <w:rFonts w:ascii="Arial" w:hAnsi="Arial"/>
                <w:sz w:val="14"/>
              </w:rPr>
              <w:t>Quarterly/annual</w:t>
            </w:r>
          </w:p>
        </w:tc>
      </w:tr>
      <w:tr>
        <w:trPr>
          <w:cantSplit/>
        </w:trPr>
        <w:tc>
          <w:tcPr>
            <w:tcW w:type="dxa" w:w="1800"/>
            <w:tcMar>
              <w:top w:w="55" w:type="dxa"/>
              <w:start w:w="70" w:type="dxa"/>
              <w:bottom w:w="55" w:type="dxa"/>
              <w:end w:w="70" w:type="dxa"/>
            </w:tcMar>
            <w:vAlign w:val="top"/>
          </w:tcPr>
          <w:p>
            <w:pPr>
              <w:spacing w:after="10" w:line="240" w:lineRule="auto"/>
            </w:pPr>
            <w:r>
              <w:rPr>
                <w:rFonts w:ascii="Arial" w:hAnsi="Arial"/>
                <w:b/>
                <w:sz w:val="14"/>
              </w:rPr>
              <w:t>Cash</w:t>
            </w:r>
          </w:p>
        </w:tc>
        <w:tc>
          <w:tcPr>
            <w:tcW w:type="dxa" w:w="4464"/>
            <w:tcMar>
              <w:top w:w="55" w:type="dxa"/>
              <w:start w:w="70" w:type="dxa"/>
              <w:bottom w:w="55" w:type="dxa"/>
              <w:end w:w="70" w:type="dxa"/>
            </w:tcMar>
            <w:vAlign w:val="top"/>
          </w:tcPr>
          <w:p>
            <w:pPr>
              <w:spacing w:after="10" w:line="240" w:lineRule="auto"/>
            </w:pPr>
            <w:r>
              <w:rPr>
                <w:rFonts w:ascii="Arial" w:hAnsi="Arial"/>
                <w:sz w:val="14"/>
              </w:rPr>
              <w:t>Cash/bank balance, dividend, buyback, acquisition</w:t>
            </w:r>
          </w:p>
        </w:tc>
        <w:tc>
          <w:tcPr>
            <w:tcW w:type="dxa" w:w="2592"/>
            <w:tcMar>
              <w:top w:w="55" w:type="dxa"/>
              <w:start w:w="70" w:type="dxa"/>
              <w:bottom w:w="55" w:type="dxa"/>
              <w:end w:w="70" w:type="dxa"/>
            </w:tcMar>
            <w:vAlign w:val="top"/>
          </w:tcPr>
          <w:p>
            <w:pPr>
              <w:spacing w:after="10" w:line="240" w:lineRule="auto"/>
            </w:pPr>
            <w:r>
              <w:rPr>
                <w:rFonts w:ascii="Arial" w:hAnsi="Arial"/>
                <w:sz w:val="14"/>
              </w:rPr>
              <w:t>Balance sheet/filings</w:t>
            </w:r>
          </w:p>
        </w:tc>
        <w:tc>
          <w:tcPr>
            <w:tcW w:type="dxa" w:w="1584"/>
            <w:tcMar>
              <w:top w:w="55" w:type="dxa"/>
              <w:start w:w="70" w:type="dxa"/>
              <w:bottom w:w="55" w:type="dxa"/>
              <w:end w:w="70" w:type="dxa"/>
            </w:tcMar>
            <w:vAlign w:val="top"/>
          </w:tcPr>
          <w:p>
            <w:pPr>
              <w:spacing w:after="10" w:line="240" w:lineRule="auto"/>
            </w:pPr>
            <w:r>
              <w:rPr>
                <w:rFonts w:ascii="Arial" w:hAnsi="Arial"/>
                <w:sz w:val="14"/>
              </w:rPr>
              <w:t>Quarterly</w:t>
            </w:r>
          </w:p>
        </w:tc>
      </w:tr>
      <w:tr>
        <w:trPr>
          <w:cantSplit/>
        </w:trPr>
        <w:tc>
          <w:tcPr>
            <w:tcW w:type="dxa" w:w="1800"/>
            <w:shd w:fill="F7F7F7"/>
            <w:tcMar>
              <w:top w:w="55" w:type="dxa"/>
              <w:start w:w="70" w:type="dxa"/>
              <w:bottom w:w="55" w:type="dxa"/>
              <w:end w:w="70" w:type="dxa"/>
            </w:tcMar>
            <w:vAlign w:val="top"/>
          </w:tcPr>
          <w:p>
            <w:pPr>
              <w:spacing w:after="10" w:line="240" w:lineRule="auto"/>
            </w:pPr>
            <w:r>
              <w:rPr>
                <w:rFonts w:ascii="Arial" w:hAnsi="Arial"/>
                <w:b/>
                <w:sz w:val="14"/>
              </w:rPr>
              <w:t>Regulation</w:t>
            </w:r>
          </w:p>
        </w:tc>
        <w:tc>
          <w:tcPr>
            <w:tcW w:type="dxa" w:w="4464"/>
            <w:shd w:fill="F7F7F7"/>
            <w:tcMar>
              <w:top w:w="55" w:type="dxa"/>
              <w:start w:w="70" w:type="dxa"/>
              <w:bottom w:w="55" w:type="dxa"/>
              <w:end w:w="70" w:type="dxa"/>
            </w:tcMar>
            <w:vAlign w:val="top"/>
          </w:tcPr>
          <w:p>
            <w:pPr>
              <w:spacing w:after="10" w:line="240" w:lineRule="auto"/>
            </w:pPr>
            <w:r>
              <w:rPr>
                <w:rFonts w:ascii="Arial" w:hAnsi="Arial"/>
                <w:sz w:val="14"/>
              </w:rPr>
              <w:t>NPPA/NLEM orders and DPCO contingent liability</w:t>
            </w:r>
          </w:p>
        </w:tc>
        <w:tc>
          <w:tcPr>
            <w:tcW w:type="dxa" w:w="2592"/>
            <w:shd w:fill="F7F7F7"/>
            <w:tcMar>
              <w:top w:w="55" w:type="dxa"/>
              <w:start w:w="70" w:type="dxa"/>
              <w:bottom w:w="55" w:type="dxa"/>
              <w:end w:w="70" w:type="dxa"/>
            </w:tcMar>
            <w:vAlign w:val="top"/>
          </w:tcPr>
          <w:p>
            <w:pPr>
              <w:spacing w:after="10" w:line="240" w:lineRule="auto"/>
            </w:pPr>
            <w:r>
              <w:rPr>
                <w:rFonts w:ascii="Arial" w:hAnsi="Arial"/>
                <w:sz w:val="14"/>
              </w:rPr>
              <w:t>NPPA/annual report</w:t>
            </w:r>
          </w:p>
        </w:tc>
        <w:tc>
          <w:tcPr>
            <w:tcW w:type="dxa" w:w="1584"/>
            <w:shd w:fill="F7F7F7"/>
            <w:tcMar>
              <w:top w:w="55" w:type="dxa"/>
              <w:start w:w="70" w:type="dxa"/>
              <w:bottom w:w="55" w:type="dxa"/>
              <w:end w:w="70" w:type="dxa"/>
            </w:tcMar>
            <w:vAlign w:val="top"/>
          </w:tcPr>
          <w:p>
            <w:pPr>
              <w:spacing w:after="10" w:line="240" w:lineRule="auto"/>
            </w:pPr>
            <w:r>
              <w:rPr>
                <w:rFonts w:ascii="Arial" w:hAnsi="Arial"/>
                <w:sz w:val="14"/>
              </w:rPr>
              <w:t>Continuous</w:t>
            </w:r>
          </w:p>
        </w:tc>
      </w:tr>
    </w:tbl>
    <w:p>
      <w:pPr>
        <w:pStyle w:val="Heading2"/>
      </w:pPr>
      <w:r>
        <w:t>Twenty questions for management</w:t>
      </w:r>
    </w:p>
    <w:p>
      <w:pPr>
        <w:pStyle w:val="ListNumber"/>
        <w:spacing w:after="30"/>
        <w:ind w:left="259" w:hanging="173"/>
      </w:pPr>
      <w:r>
        <w:t>List every prescription product sold in India by a Pfizer-controlled entity other than Pfizer Limited, with FY26 net sales by entity.</w:t>
      </w:r>
    </w:p>
    <w:p>
      <w:pPr>
        <w:pStyle w:val="ListNumber"/>
        <w:spacing w:after="30"/>
        <w:ind w:left="259" w:hanging="173"/>
      </w:pPr>
      <w:r>
        <w:t>Does Pfizer Limited have any contractual right of first offer, first refusal or preferred access to Pfizer Inc. products for India? Please provide the governing document or confirm none exists.</w:t>
      </w:r>
    </w:p>
    <w:p>
      <w:pPr>
        <w:pStyle w:val="ListNumber"/>
        <w:spacing w:after="30"/>
        <w:ind w:left="259" w:hanging="173"/>
      </w:pPr>
      <w:r>
        <w:t>Who decides whether an India launch is allocated to Pfizer Limited or Pfizer Products India Private Limited, and what written criteria are applied?</w:t>
      </w:r>
    </w:p>
    <w:p>
      <w:pPr>
        <w:pStyle w:val="ListNumber"/>
        <w:spacing w:after="30"/>
        <w:ind w:left="259" w:hanging="173"/>
      </w:pPr>
      <w:r>
        <w:t>For Palbace, Inlyta and Crizalk, identify the India marketing-authorisation holder, importer, trademark owner and economic beneficiary.</w:t>
      </w:r>
    </w:p>
    <w:p>
      <w:pPr>
        <w:pStyle w:val="ListNumber"/>
        <w:spacing w:after="30"/>
        <w:ind w:left="259" w:hanging="173"/>
      </w:pPr>
      <w:r>
        <w:t>Quantify FY26 service costs incurred by Pfizer Limited for private affiliates and explain the transfer-pricing basis for the ₹42.68 crore PPIPL service income.</w:t>
      </w:r>
    </w:p>
    <w:p>
      <w:pPr>
        <w:pStyle w:val="ListNumber"/>
        <w:spacing w:after="30"/>
        <w:ind w:left="259" w:hanging="173"/>
      </w:pPr>
      <w:r>
        <w:t>Quantify employees, field-force resources, warehousing and distributor infrastructure shared between Pfizer Limited and each private affiliate.</w:t>
      </w:r>
    </w:p>
    <w:p>
      <w:pPr>
        <w:pStyle w:val="ListNumber"/>
        <w:spacing w:after="30"/>
        <w:ind w:left="259" w:hanging="173"/>
      </w:pPr>
      <w:r>
        <w:t>Has the independent board reviewed the product-allocation framework in the last three years? Provide the date and the safeguards considered.</w:t>
      </w:r>
    </w:p>
    <w:p>
      <w:pPr>
        <w:pStyle w:val="ListNumber"/>
        <w:spacing w:after="30"/>
        <w:ind w:left="259" w:hanging="173"/>
      </w:pPr>
      <w:r>
        <w:t>Will the company commit to disclosing the India marketer and expected listed-company economics for every material Pfizer Inc. approval before launch?</w:t>
      </w:r>
    </w:p>
    <w:p>
      <w:pPr>
        <w:pStyle w:val="ListNumber"/>
        <w:spacing w:after="30"/>
        <w:ind w:left="259" w:hanging="173"/>
      </w:pPr>
      <w:r>
        <w:t>Which legal entity is expected to commercialise Abrysvo, Velsipity and Hympavzi in India?</w:t>
      </w:r>
    </w:p>
    <w:p>
      <w:pPr>
        <w:pStyle w:val="ListNumber"/>
        <w:spacing w:after="30"/>
        <w:ind w:left="259" w:hanging="173"/>
      </w:pPr>
      <w:r>
        <w:t>What pre-tax annual revenue and operating profit did Minipress XL contribute in FY26, and how was US$13.9 million compensation calculated?</w:t>
      </w:r>
    </w:p>
    <w:p>
      <w:pPr>
        <w:pStyle w:val="ListNumber"/>
        <w:spacing w:after="30"/>
        <w:ind w:left="259" w:hanging="173"/>
      </w:pPr>
      <w:r>
        <w:t>What proportion of FY26 product sales was manufactured at Goa, contract-manufactured in India, and imported as finished goods?</w:t>
      </w:r>
    </w:p>
    <w:p>
      <w:pPr>
        <w:pStyle w:val="ListNumber"/>
        <w:spacing w:after="30"/>
        <w:ind w:left="259" w:hanging="173"/>
      </w:pPr>
      <w:r>
        <w:t>What is the average gross margin on locally manufactured products versus imported affiliate products?</w:t>
      </w:r>
    </w:p>
    <w:p>
      <w:pPr>
        <w:pStyle w:val="ListNumber"/>
        <w:spacing w:after="30"/>
        <w:ind w:left="259" w:hanging="173"/>
      </w:pPr>
      <w:r>
        <w:t>Quantify FY26 product sales for Prevenar, Eliquis, Becosules, Corex and the hospital anti-infective portfolio.</w:t>
      </w:r>
    </w:p>
    <w:p>
      <w:pPr>
        <w:pStyle w:val="ListNumber"/>
        <w:spacing w:after="30"/>
        <w:ind w:left="259" w:hanging="173"/>
      </w:pPr>
      <w:r>
        <w:t>What is Prevenar 20’s dose volume, net realised price and adult/paediatric mix since launch?</w:t>
      </w:r>
    </w:p>
    <w:p>
      <w:pPr>
        <w:pStyle w:val="ListNumber"/>
        <w:spacing w:after="30"/>
        <w:ind w:left="259" w:hanging="173"/>
      </w:pPr>
      <w:r>
        <w:t>What percentage of Eliquis growth in FY26 was volume, price and channel expansion?</w:t>
      </w:r>
    </w:p>
    <w:p>
      <w:pPr>
        <w:pStyle w:val="ListNumber"/>
        <w:spacing w:after="30"/>
        <w:ind w:left="259" w:hanging="173"/>
      </w:pPr>
      <w:r>
        <w:t>What revenue and margin thresholds must Nurtec and Emblaveo achieve for the launches to be value-accretive?</w:t>
      </w:r>
    </w:p>
    <w:p>
      <w:pPr>
        <w:pStyle w:val="ListNumber"/>
        <w:spacing w:after="30"/>
        <w:ind w:left="259" w:hanging="173"/>
      </w:pPr>
      <w:r>
        <w:t>What revenue retention and cost-saving targets were set for the Cipla partnership, and when will they be measured?</w:t>
      </w:r>
    </w:p>
    <w:p>
      <w:pPr>
        <w:pStyle w:val="ListNumber"/>
        <w:spacing w:after="30"/>
        <w:ind w:left="259" w:hanging="173"/>
      </w:pPr>
      <w:r>
        <w:t>Of ₹3,110.8 crore cash and bank balances, how much is operating cash, acquisition reserve and distributable excess?</w:t>
      </w:r>
    </w:p>
    <w:p>
      <w:pPr>
        <w:pStyle w:val="ListNumber"/>
        <w:spacing w:after="30"/>
        <w:ind w:left="259" w:hanging="173"/>
      </w:pPr>
      <w:r>
        <w:t>What specific capital-allocation trigger would lead to a special dividend or buyback?</w:t>
      </w:r>
    </w:p>
    <w:p>
      <w:pPr>
        <w:pStyle w:val="ListNumber"/>
        <w:spacing w:after="30"/>
        <w:ind w:left="259" w:hanging="173"/>
      </w:pPr>
      <w:r>
        <w:t>What is the succession plan for the CFO role after 8 October 2026, and will the successor retain responsibility for related-party and transfer-pricing disclosure?</w:t>
      </w:r>
    </w:p>
    <w:p>
      <w:pPr>
        <w:pStyle w:val="Heading1"/>
      </w:pPr>
      <w:r>
        <w:t>One-page analyst cheat sheet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Topic</w:t>
            </w:r>
          </w:p>
        </w:tc>
        <w:tc>
          <w:tcPr>
            <w:tcW w:type="dxa" w:w="8352"/>
            <w:shd w:fill="9B1C31"/>
            <w:tcMar>
              <w:top w:w="55" w:type="dxa"/>
              <w:start w:w="70" w:type="dxa"/>
              <w:bottom w:w="55" w:type="dxa"/>
              <w:end w:w="70" w:type="dxa"/>
            </w:tcMar>
            <w:vAlign w:val="center"/>
          </w:tcPr>
          <w:p>
            <w:pPr>
              <w:spacing w:line="240" w:lineRule="auto" w:after="10"/>
              <w:jc w:val="left"/>
            </w:pPr>
            <w:r>
              <w:rPr>
                <w:rFonts w:ascii="Arial" w:hAnsi="Arial"/>
                <w:b/>
                <w:color w:val="FFFFFF"/>
                <w:sz w:val="15"/>
              </w:rPr>
              <w:t>Answer</w:t>
            </w:r>
          </w:p>
        </w:tc>
      </w:tr>
      <w:tr>
        <w:trPr>
          <w:cantSplit/>
        </w:trPr>
        <w:tc>
          <w:tcPr>
            <w:tcW w:type="dxa" w:w="2232"/>
            <w:tcMar>
              <w:top w:w="55" w:type="dxa"/>
              <w:start w:w="70" w:type="dxa"/>
              <w:bottom w:w="55" w:type="dxa"/>
              <w:end w:w="70" w:type="dxa"/>
            </w:tcMar>
            <w:vAlign w:val="top"/>
          </w:tcPr>
          <w:p>
            <w:pPr>
              <w:spacing w:after="10" w:line="240" w:lineRule="auto"/>
            </w:pPr>
            <w:r>
              <w:rPr>
                <w:rFonts w:ascii="Arial" w:hAnsi="Arial"/>
                <w:b/>
                <w:sz w:val="15"/>
              </w:rPr>
              <w:t>What is owned</w:t>
            </w:r>
          </w:p>
        </w:tc>
        <w:tc>
          <w:tcPr>
            <w:tcW w:type="dxa" w:w="8352"/>
            <w:tcMar>
              <w:top w:w="55" w:type="dxa"/>
              <w:start w:w="70" w:type="dxa"/>
              <w:bottom w:w="55" w:type="dxa"/>
              <w:end w:w="70" w:type="dxa"/>
            </w:tcMar>
            <w:vAlign w:val="top"/>
          </w:tcPr>
          <w:p>
            <w:pPr>
              <w:spacing w:after="10" w:line="240" w:lineRule="auto"/>
            </w:pPr>
            <w:r>
              <w:rPr>
                <w:rFonts w:ascii="Arial" w:hAnsi="Arial"/>
                <w:sz w:val="15"/>
              </w:rPr>
              <w:t>Standalone Pfizer Limited: selected India product rights/economics, Goa plant, affiliate-service operations and cash. No subsidiaries.</w:t>
            </w:r>
          </w:p>
        </w:tc>
      </w:tr>
      <w:tr>
        <w:trPr>
          <w:cantSplit/>
        </w:trPr>
        <w:tc>
          <w:tcPr>
            <w:tcW w:type="dxa" w:w="2232"/>
            <w:shd w:fill="F7F7F7"/>
            <w:tcMar>
              <w:top w:w="55" w:type="dxa"/>
              <w:start w:w="70" w:type="dxa"/>
              <w:bottom w:w="55" w:type="dxa"/>
              <w:end w:w="70" w:type="dxa"/>
            </w:tcMar>
            <w:vAlign w:val="top"/>
          </w:tcPr>
          <w:p>
            <w:pPr>
              <w:spacing w:after="10" w:line="240" w:lineRule="auto"/>
            </w:pPr>
            <w:r>
              <w:rPr>
                <w:rFonts w:ascii="Arial" w:hAnsi="Arial"/>
                <w:b/>
                <w:sz w:val="15"/>
              </w:rPr>
              <w:t>What is not owned</w:t>
            </w:r>
          </w:p>
        </w:tc>
        <w:tc>
          <w:tcPr>
            <w:tcW w:type="dxa" w:w="8352"/>
            <w:shd w:fill="F7F7F7"/>
            <w:tcMar>
              <w:top w:w="55" w:type="dxa"/>
              <w:start w:w="70" w:type="dxa"/>
              <w:bottom w:w="55" w:type="dxa"/>
              <w:end w:w="70" w:type="dxa"/>
            </w:tcMar>
            <w:vAlign w:val="top"/>
          </w:tcPr>
          <w:p>
            <w:pPr>
              <w:spacing w:after="10" w:line="240" w:lineRule="auto"/>
            </w:pPr>
            <w:r>
              <w:rPr>
                <w:rFonts w:ascii="Arial" w:hAnsi="Arial"/>
                <w:sz w:val="15"/>
              </w:rPr>
              <w:t>PPIPL oncology/rare/specialty product economics unless explicitly transferred; Pfizer Inc. global pipeline; private service/R&amp;D entities.</w:t>
            </w:r>
          </w:p>
        </w:tc>
      </w:tr>
      <w:tr>
        <w:trPr>
          <w:cantSplit/>
        </w:trPr>
        <w:tc>
          <w:tcPr>
            <w:tcW w:type="dxa" w:w="2232"/>
            <w:tcMar>
              <w:top w:w="55" w:type="dxa"/>
              <w:start w:w="70" w:type="dxa"/>
              <w:bottom w:w="55" w:type="dxa"/>
              <w:end w:w="70" w:type="dxa"/>
            </w:tcMar>
            <w:vAlign w:val="top"/>
          </w:tcPr>
          <w:p>
            <w:pPr>
              <w:spacing w:after="10" w:line="240" w:lineRule="auto"/>
            </w:pPr>
            <w:r>
              <w:rPr>
                <w:rFonts w:ascii="Arial" w:hAnsi="Arial"/>
                <w:b/>
                <w:sz w:val="15"/>
              </w:rPr>
              <w:t>Top franchises</w:t>
            </w:r>
          </w:p>
        </w:tc>
        <w:tc>
          <w:tcPr>
            <w:tcW w:type="dxa" w:w="8352"/>
            <w:tcMar>
              <w:top w:w="55" w:type="dxa"/>
              <w:start w:w="70" w:type="dxa"/>
              <w:bottom w:w="55" w:type="dxa"/>
              <w:end w:w="70" w:type="dxa"/>
            </w:tcMar>
            <w:vAlign w:val="top"/>
          </w:tcPr>
          <w:p>
            <w:pPr>
              <w:spacing w:after="10" w:line="240" w:lineRule="auto"/>
            </w:pPr>
            <w:r>
              <w:rPr>
                <w:rFonts w:ascii="Arial" w:hAnsi="Arial"/>
                <w:sz w:val="15"/>
              </w:rPr>
              <w:t>Prevenar, Eliquis, hospital anti-infectives, Becosules, Corex; FY26 individual sales not disclosed.</w:t>
            </w:r>
          </w:p>
        </w:tc>
      </w:tr>
      <w:tr>
        <w:trPr>
          <w:cantSplit/>
        </w:trPr>
        <w:tc>
          <w:tcPr>
            <w:tcW w:type="dxa" w:w="2232"/>
            <w:shd w:fill="F7F7F7"/>
            <w:tcMar>
              <w:top w:w="55" w:type="dxa"/>
              <w:start w:w="70" w:type="dxa"/>
              <w:bottom w:w="55" w:type="dxa"/>
              <w:end w:w="70" w:type="dxa"/>
            </w:tcMar>
            <w:vAlign w:val="top"/>
          </w:tcPr>
          <w:p>
            <w:pPr>
              <w:spacing w:after="10" w:line="240" w:lineRule="auto"/>
            </w:pPr>
            <w:r>
              <w:rPr>
                <w:rFonts w:ascii="Arial" w:hAnsi="Arial"/>
                <w:b/>
                <w:sz w:val="15"/>
              </w:rPr>
              <w:t>Therapy mix</w:t>
            </w:r>
          </w:p>
        </w:tc>
        <w:tc>
          <w:tcPr>
            <w:tcW w:type="dxa" w:w="8352"/>
            <w:shd w:fill="F7F7F7"/>
            <w:tcMar>
              <w:top w:w="55" w:type="dxa"/>
              <w:start w:w="70" w:type="dxa"/>
              <w:bottom w:w="55" w:type="dxa"/>
              <w:end w:w="70" w:type="dxa"/>
            </w:tcMar>
            <w:vAlign w:val="top"/>
          </w:tcPr>
          <w:p>
            <w:pPr>
              <w:spacing w:after="10" w:line="240" w:lineRule="auto"/>
            </w:pPr>
            <w:r>
              <w:rPr>
                <w:rFonts w:ascii="Arial" w:hAnsi="Arial"/>
                <w:sz w:val="15"/>
              </w:rPr>
              <w:t>Vaccines 17% BE; hospital 16%; cardiovascular 18%; vitamins 11%; remainder mature/specialty.</w:t>
            </w:r>
          </w:p>
        </w:tc>
      </w:tr>
      <w:tr>
        <w:trPr>
          <w:cantSplit/>
        </w:trPr>
        <w:tc>
          <w:tcPr>
            <w:tcW w:type="dxa" w:w="2232"/>
            <w:tcMar>
              <w:top w:w="55" w:type="dxa"/>
              <w:start w:w="70" w:type="dxa"/>
              <w:bottom w:w="55" w:type="dxa"/>
              <w:end w:w="70" w:type="dxa"/>
            </w:tcMar>
            <w:vAlign w:val="top"/>
          </w:tcPr>
          <w:p>
            <w:pPr>
              <w:spacing w:after="10" w:line="240" w:lineRule="auto"/>
            </w:pPr>
            <w:r>
              <w:rPr>
                <w:rFonts w:ascii="Arial" w:hAnsi="Arial"/>
                <w:b/>
                <w:sz w:val="15"/>
              </w:rPr>
              <w:t>Revenue concentration</w:t>
            </w:r>
          </w:p>
        </w:tc>
        <w:tc>
          <w:tcPr>
            <w:tcW w:type="dxa" w:w="8352"/>
            <w:tcMar>
              <w:top w:w="55" w:type="dxa"/>
              <w:start w:w="70" w:type="dxa"/>
              <w:bottom w:w="55" w:type="dxa"/>
              <w:end w:w="70" w:type="dxa"/>
            </w:tcMar>
            <w:vAlign w:val="top"/>
          </w:tcPr>
          <w:p>
            <w:pPr>
              <w:spacing w:after="10" w:line="240" w:lineRule="auto"/>
            </w:pPr>
            <w:r>
              <w:rPr>
                <w:rFonts w:ascii="Arial" w:hAnsi="Arial"/>
                <w:sz w:val="15"/>
              </w:rPr>
              <w:t>Top five franchises about 65% BE.</w:t>
            </w:r>
          </w:p>
        </w:tc>
      </w:tr>
      <w:tr>
        <w:trPr>
          <w:cantSplit/>
        </w:trPr>
        <w:tc>
          <w:tcPr>
            <w:tcW w:type="dxa" w:w="2232"/>
            <w:shd w:fill="F7F7F7"/>
            <w:tcMar>
              <w:top w:w="55" w:type="dxa"/>
              <w:start w:w="70" w:type="dxa"/>
              <w:bottom w:w="55" w:type="dxa"/>
              <w:end w:w="70" w:type="dxa"/>
            </w:tcMar>
            <w:vAlign w:val="top"/>
          </w:tcPr>
          <w:p>
            <w:pPr>
              <w:spacing w:after="10" w:line="240" w:lineRule="auto"/>
            </w:pPr>
            <w:r>
              <w:rPr>
                <w:rFonts w:ascii="Arial" w:hAnsi="Arial"/>
                <w:b/>
                <w:sz w:val="15"/>
              </w:rPr>
              <w:t>Margin structure</w:t>
            </w:r>
          </w:p>
        </w:tc>
        <w:tc>
          <w:tcPr>
            <w:tcW w:type="dxa" w:w="8352"/>
            <w:shd w:fill="F7F7F7"/>
            <w:tcMar>
              <w:top w:w="55" w:type="dxa"/>
              <w:start w:w="70" w:type="dxa"/>
              <w:bottom w:w="55" w:type="dxa"/>
              <w:end w:w="70" w:type="dxa"/>
            </w:tcMar>
            <w:vAlign w:val="top"/>
          </w:tcPr>
          <w:p>
            <w:pPr>
              <w:spacing w:after="10" w:line="240" w:lineRule="auto"/>
            </w:pPr>
            <w:r>
              <w:rPr>
                <w:rFonts w:ascii="Arial" w:hAnsi="Arial"/>
                <w:sz w:val="15"/>
              </w:rPr>
              <w:t>FY26 gross margin 64.9% BE; op EBITDA margin 35.9%; other income 18.3% of core PBT.</w:t>
            </w:r>
          </w:p>
        </w:tc>
      </w:tr>
      <w:tr>
        <w:trPr>
          <w:cantSplit/>
        </w:trPr>
        <w:tc>
          <w:tcPr>
            <w:tcW w:type="dxa" w:w="2232"/>
            <w:tcMar>
              <w:top w:w="55" w:type="dxa"/>
              <w:start w:w="70" w:type="dxa"/>
              <w:bottom w:w="55" w:type="dxa"/>
              <w:end w:w="70" w:type="dxa"/>
            </w:tcMar>
            <w:vAlign w:val="top"/>
          </w:tcPr>
          <w:p>
            <w:pPr>
              <w:spacing w:after="10" w:line="240" w:lineRule="auto"/>
            </w:pPr>
            <w:r>
              <w:rPr>
                <w:rFonts w:ascii="Arial" w:hAnsi="Arial"/>
                <w:b/>
                <w:sz w:val="15"/>
              </w:rPr>
              <w:t>Pipeline</w:t>
            </w:r>
          </w:p>
        </w:tc>
        <w:tc>
          <w:tcPr>
            <w:tcW w:type="dxa" w:w="8352"/>
            <w:tcMar>
              <w:top w:w="55" w:type="dxa"/>
              <w:start w:w="70" w:type="dxa"/>
              <w:bottom w:w="55" w:type="dxa"/>
              <w:end w:w="70" w:type="dxa"/>
            </w:tcMar>
            <w:vAlign w:val="top"/>
          </w:tcPr>
          <w:p>
            <w:pPr>
              <w:spacing w:after="10" w:line="240" w:lineRule="auto"/>
            </w:pPr>
            <w:r>
              <w:rPr>
                <w:rFonts w:ascii="Arial" w:hAnsi="Arial"/>
                <w:sz w:val="15"/>
              </w:rPr>
              <w:t>Listed: Prevenar 20, Nurtec, Emblaveo. Candidate: Abrysvo. Etrasimod plausible but unconfirmed. Oncology trials largely no listed path.</w:t>
            </w:r>
          </w:p>
        </w:tc>
      </w:tr>
      <w:tr>
        <w:trPr>
          <w:cantSplit/>
        </w:trPr>
        <w:tc>
          <w:tcPr>
            <w:tcW w:type="dxa" w:w="2232"/>
            <w:shd w:fill="F7F7F7"/>
            <w:tcMar>
              <w:top w:w="55" w:type="dxa"/>
              <w:start w:w="70" w:type="dxa"/>
              <w:bottom w:w="55" w:type="dxa"/>
              <w:end w:w="70" w:type="dxa"/>
            </w:tcMar>
            <w:vAlign w:val="top"/>
          </w:tcPr>
          <w:p>
            <w:pPr>
              <w:spacing w:after="10" w:line="240" w:lineRule="auto"/>
            </w:pPr>
            <w:r>
              <w:rPr>
                <w:rFonts w:ascii="Arial" w:hAnsi="Arial"/>
                <w:b/>
                <w:sz w:val="15"/>
              </w:rPr>
              <w:t>Four launch candidates</w:t>
            </w:r>
          </w:p>
        </w:tc>
        <w:tc>
          <w:tcPr>
            <w:tcW w:type="dxa" w:w="8352"/>
            <w:shd w:fill="F7F7F7"/>
            <w:tcMar>
              <w:top w:w="55" w:type="dxa"/>
              <w:start w:w="70" w:type="dxa"/>
              <w:bottom w:w="55" w:type="dxa"/>
              <w:end w:w="70" w:type="dxa"/>
            </w:tcMar>
            <w:vAlign w:val="top"/>
          </w:tcPr>
          <w:p>
            <w:pPr>
              <w:spacing w:after="10" w:line="240" w:lineRule="auto"/>
            </w:pPr>
            <w:r>
              <w:rPr>
                <w:rFonts w:ascii="Arial" w:hAnsi="Arial"/>
                <w:sz w:val="15"/>
              </w:rPr>
              <w:t>Prevenar 20, Nurtec, Emblaveo, Abrysvo. Only first three are confirmed listed-company products.</w:t>
            </w:r>
          </w:p>
        </w:tc>
      </w:tr>
      <w:tr>
        <w:trPr>
          <w:cantSplit/>
        </w:trPr>
        <w:tc>
          <w:tcPr>
            <w:tcW w:type="dxa" w:w="2232"/>
            <w:tcMar>
              <w:top w:w="55" w:type="dxa"/>
              <w:start w:w="70" w:type="dxa"/>
              <w:bottom w:w="55" w:type="dxa"/>
              <w:end w:w="70" w:type="dxa"/>
            </w:tcMar>
            <w:vAlign w:val="top"/>
          </w:tcPr>
          <w:p>
            <w:pPr>
              <w:spacing w:after="10" w:line="240" w:lineRule="auto"/>
            </w:pPr>
            <w:r>
              <w:rPr>
                <w:rFonts w:ascii="Arial" w:hAnsi="Arial"/>
                <w:b/>
                <w:sz w:val="15"/>
              </w:rPr>
              <w:t>Listed/private issue</w:t>
            </w:r>
          </w:p>
        </w:tc>
        <w:tc>
          <w:tcPr>
            <w:tcW w:type="dxa" w:w="8352"/>
            <w:tcMar>
              <w:top w:w="55" w:type="dxa"/>
              <w:start w:w="70" w:type="dxa"/>
              <w:bottom w:w="55" w:type="dxa"/>
              <w:end w:w="70" w:type="dxa"/>
            </w:tcMar>
            <w:vAlign w:val="top"/>
          </w:tcPr>
          <w:p>
            <w:pPr>
              <w:spacing w:after="10" w:line="240" w:lineRule="auto"/>
            </w:pPr>
            <w:r>
              <w:rPr>
                <w:rFonts w:ascii="Arial" w:hAnsi="Arial"/>
                <w:sz w:val="15"/>
              </w:rPr>
              <w:t>Official labels name PPIPL for Palbace, Inlyta, Crizalk, VFEND, Eraxis and Xyntha. No disclosed allocation right.</w:t>
            </w:r>
          </w:p>
        </w:tc>
      </w:tr>
      <w:tr>
        <w:trPr>
          <w:cantSplit/>
        </w:trPr>
        <w:tc>
          <w:tcPr>
            <w:tcW w:type="dxa" w:w="2232"/>
            <w:shd w:fill="F7F7F7"/>
            <w:tcMar>
              <w:top w:w="55" w:type="dxa"/>
              <w:start w:w="70" w:type="dxa"/>
              <w:bottom w:w="55" w:type="dxa"/>
              <w:end w:w="70" w:type="dxa"/>
            </w:tcMar>
            <w:vAlign w:val="top"/>
          </w:tcPr>
          <w:p>
            <w:pPr>
              <w:spacing w:after="10" w:line="240" w:lineRule="auto"/>
            </w:pPr>
            <w:r>
              <w:rPr>
                <w:rFonts w:ascii="Arial" w:hAnsi="Arial"/>
                <w:b/>
                <w:sz w:val="15"/>
              </w:rPr>
              <w:t>Key risks</w:t>
            </w:r>
          </w:p>
        </w:tc>
        <w:tc>
          <w:tcPr>
            <w:tcW w:type="dxa" w:w="8352"/>
            <w:shd w:fill="F7F7F7"/>
            <w:tcMar>
              <w:top w:w="55" w:type="dxa"/>
              <w:start w:w="70" w:type="dxa"/>
              <w:bottom w:w="55" w:type="dxa"/>
              <w:end w:w="70" w:type="dxa"/>
            </w:tcMar>
            <w:vAlign w:val="top"/>
          </w:tcPr>
          <w:p>
            <w:pPr>
              <w:spacing w:after="10" w:line="240" w:lineRule="auto"/>
            </w:pPr>
            <w:r>
              <w:rPr>
                <w:rFonts w:ascii="Arial" w:hAnsi="Arial"/>
                <w:sz w:val="15"/>
              </w:rPr>
              <w:t>Parent allocation; mature-brand exits; vaccine adoption; NLEM/DPCO; imported supply; cash inertia.</w:t>
            </w:r>
          </w:p>
        </w:tc>
      </w:tr>
      <w:tr>
        <w:trPr>
          <w:cantSplit/>
        </w:trPr>
        <w:tc>
          <w:tcPr>
            <w:tcW w:type="dxa" w:w="2232"/>
            <w:tcMar>
              <w:top w:w="55" w:type="dxa"/>
              <w:start w:w="70" w:type="dxa"/>
              <w:bottom w:w="55" w:type="dxa"/>
              <w:end w:w="70" w:type="dxa"/>
            </w:tcMar>
            <w:vAlign w:val="top"/>
          </w:tcPr>
          <w:p>
            <w:pPr>
              <w:spacing w:after="10" w:line="240" w:lineRule="auto"/>
            </w:pPr>
            <w:r>
              <w:rPr>
                <w:rFonts w:ascii="Arial" w:hAnsi="Arial"/>
                <w:b/>
                <w:sz w:val="15"/>
              </w:rPr>
              <w:t>Valuation</w:t>
            </w:r>
          </w:p>
        </w:tc>
        <w:tc>
          <w:tcPr>
            <w:tcW w:type="dxa" w:w="8352"/>
            <w:tcMar>
              <w:top w:w="55" w:type="dxa"/>
              <w:start w:w="70" w:type="dxa"/>
              <w:bottom w:w="55" w:type="dxa"/>
              <w:end w:w="70" w:type="dxa"/>
            </w:tcMar>
            <w:vAlign w:val="top"/>
          </w:tcPr>
          <w:p>
            <w:pPr>
              <w:spacing w:after="10" w:line="240" w:lineRule="auto"/>
            </w:pPr>
            <w:r>
              <w:rPr>
                <w:rFonts w:ascii="Arial" w:hAnsi="Arial"/>
                <w:sz w:val="15"/>
              </w:rPr>
              <w:t>27x FY29E operating EPS plus excess cash; no private-transfer value. Indicative fair value ₹5,300.</w:t>
            </w:r>
          </w:p>
        </w:tc>
      </w:tr>
    </w:tbl>
    <w:p>
      <w:pPr>
        <w:pStyle w:val="Heading2"/>
      </w:pPr>
      <w:r>
        <w:t>Five figures to remember</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088"/>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₹2,520cr</w:t>
            </w:r>
          </w:p>
        </w:tc>
        <w:tc>
          <w:tcPr>
            <w:tcW w:type="dxa" w:w="2088"/>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₹904cr</w:t>
            </w:r>
          </w:p>
        </w:tc>
        <w:tc>
          <w:tcPr>
            <w:tcW w:type="dxa" w:w="2088"/>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₹3,111cr</w:t>
            </w:r>
          </w:p>
        </w:tc>
        <w:tc>
          <w:tcPr>
            <w:tcW w:type="dxa" w:w="2088"/>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63.92%</w:t>
            </w:r>
          </w:p>
        </w:tc>
        <w:tc>
          <w:tcPr>
            <w:tcW w:type="dxa" w:w="2088"/>
            <w:shd w:fill="9B1C31"/>
            <w:tcMar>
              <w:top w:w="55" w:type="dxa"/>
              <w:start w:w="70" w:type="dxa"/>
              <w:bottom w:w="55" w:type="dxa"/>
              <w:end w:w="70" w:type="dxa"/>
            </w:tcMar>
            <w:vAlign w:val="center"/>
          </w:tcPr>
          <w:p>
            <w:pPr>
              <w:spacing w:line="240" w:lineRule="auto" w:after="10"/>
              <w:jc w:val="left"/>
            </w:pPr>
            <w:r>
              <w:rPr>
                <w:rFonts w:ascii="Arial" w:hAnsi="Arial"/>
                <w:b/>
                <w:color w:val="FFFFFF"/>
                <w:sz w:val="14"/>
              </w:rPr>
              <w:t>₹131cr</w:t>
            </w:r>
          </w:p>
        </w:tc>
      </w:tr>
      <w:tr>
        <w:trPr>
          <w:cantSplit/>
        </w:trPr>
        <w:tc>
          <w:tcPr>
            <w:tcW w:type="dxa" w:w="2088"/>
            <w:tcMar>
              <w:top w:w="55" w:type="dxa"/>
              <w:start w:w="70" w:type="dxa"/>
              <w:bottom w:w="55" w:type="dxa"/>
              <w:end w:w="70" w:type="dxa"/>
            </w:tcMar>
            <w:vAlign w:val="top"/>
          </w:tcPr>
          <w:p>
            <w:pPr>
              <w:spacing w:after="10" w:line="240" w:lineRule="auto"/>
            </w:pPr>
            <w:r>
              <w:rPr>
                <w:rFonts w:ascii="Arial" w:hAnsi="Arial"/>
                <w:sz w:val="14"/>
              </w:rPr>
              <w:t>FY26 revenue</w:t>
            </w:r>
          </w:p>
        </w:tc>
        <w:tc>
          <w:tcPr>
            <w:tcW w:type="dxa" w:w="2088"/>
            <w:tcMar>
              <w:top w:w="55" w:type="dxa"/>
              <w:start w:w="70" w:type="dxa"/>
              <w:bottom w:w="55" w:type="dxa"/>
              <w:end w:w="70" w:type="dxa"/>
            </w:tcMar>
            <w:vAlign w:val="top"/>
          </w:tcPr>
          <w:p>
            <w:pPr>
              <w:spacing w:after="10" w:line="240" w:lineRule="auto"/>
            </w:pPr>
            <w:r>
              <w:rPr>
                <w:rFonts w:ascii="Arial" w:hAnsi="Arial"/>
                <w:sz w:val="14"/>
              </w:rPr>
              <w:t>FY26 op EBITDA BE</w:t>
            </w:r>
          </w:p>
        </w:tc>
        <w:tc>
          <w:tcPr>
            <w:tcW w:type="dxa" w:w="2088"/>
            <w:tcMar>
              <w:top w:w="55" w:type="dxa"/>
              <w:start w:w="70" w:type="dxa"/>
              <w:bottom w:w="55" w:type="dxa"/>
              <w:end w:w="70" w:type="dxa"/>
            </w:tcMar>
            <w:vAlign w:val="top"/>
          </w:tcPr>
          <w:p>
            <w:pPr>
              <w:spacing w:after="10" w:line="240" w:lineRule="auto"/>
            </w:pPr>
            <w:r>
              <w:rPr>
                <w:rFonts w:ascii="Arial" w:hAnsi="Arial"/>
                <w:sz w:val="14"/>
              </w:rPr>
              <w:t>Cash/banks</w:t>
            </w:r>
          </w:p>
        </w:tc>
        <w:tc>
          <w:tcPr>
            <w:tcW w:type="dxa" w:w="2088"/>
            <w:tcMar>
              <w:top w:w="55" w:type="dxa"/>
              <w:start w:w="70" w:type="dxa"/>
              <w:bottom w:w="55" w:type="dxa"/>
              <w:end w:w="70" w:type="dxa"/>
            </w:tcMar>
            <w:vAlign w:val="top"/>
          </w:tcPr>
          <w:p>
            <w:pPr>
              <w:spacing w:after="10" w:line="240" w:lineRule="auto"/>
            </w:pPr>
            <w:r>
              <w:rPr>
                <w:rFonts w:ascii="Arial" w:hAnsi="Arial"/>
                <w:sz w:val="14"/>
              </w:rPr>
              <w:t>Promoter control</w:t>
            </w:r>
          </w:p>
        </w:tc>
        <w:tc>
          <w:tcPr>
            <w:tcW w:type="dxa" w:w="2088"/>
            <w:tcMar>
              <w:top w:w="55" w:type="dxa"/>
              <w:start w:w="70" w:type="dxa"/>
              <w:bottom w:w="55" w:type="dxa"/>
              <w:end w:w="70" w:type="dxa"/>
            </w:tcMar>
            <w:vAlign w:val="top"/>
          </w:tcPr>
          <w:p>
            <w:pPr>
              <w:spacing w:after="10" w:line="240" w:lineRule="auto"/>
            </w:pPr>
            <w:r>
              <w:rPr>
                <w:rFonts w:ascii="Arial" w:hAnsi="Arial"/>
                <w:sz w:val="14"/>
              </w:rPr>
              <w:t>Minipress compensation</w:t>
            </w:r>
          </w:p>
        </w:tc>
      </w:tr>
    </w:tbl>
    <w:p>
      <w:pPr>
        <w:pStyle w:val="Heading2"/>
      </w:pPr>
      <w:r>
        <w:t>Five questions a portfolio manager will ask</w:t>
      </w:r>
    </w:p>
    <w:p>
      <w:pPr>
        <w:pStyle w:val="ListBullet"/>
        <w:spacing w:after="30"/>
        <w:ind w:left="259" w:hanging="173"/>
      </w:pPr>
      <w:r>
        <w:t>Why will this grow faster than the 2.4% FY17-FY26 revenue CAGR?</w:t>
      </w:r>
    </w:p>
    <w:p>
      <w:pPr>
        <w:pStyle w:val="ListBullet"/>
        <w:spacing w:after="30"/>
        <w:ind w:left="259" w:hanging="173"/>
      </w:pPr>
      <w:r>
        <w:t>What happens after Minipress and when Eliquis generic price pressure rises?</w:t>
      </w:r>
    </w:p>
    <w:p>
      <w:pPr>
        <w:pStyle w:val="ListBullet"/>
        <w:spacing w:after="30"/>
        <w:ind w:left="259" w:hanging="173"/>
      </w:pPr>
      <w:r>
        <w:t>Why should minorities believe the next major Pfizer launch comes to the listed company?</w:t>
      </w:r>
    </w:p>
    <w:p>
      <w:pPr>
        <w:pStyle w:val="ListBullet"/>
        <w:spacing w:after="30"/>
        <w:ind w:left="259" w:hanging="173"/>
      </w:pPr>
      <w:r>
        <w:t>Is 36% operating EBITDA margin evidence of quality or underinvestment?</w:t>
      </w:r>
    </w:p>
    <w:p>
      <w:pPr>
        <w:pStyle w:val="ListBullet"/>
        <w:spacing w:after="30"/>
        <w:ind w:left="259" w:hanging="173"/>
      </w:pPr>
      <w:r>
        <w:t>How much of the cash will be returned, and when?</w:t>
      </w:r>
    </w:p>
    <w:p>
      <w:pPr>
        <w:pStyle w:val="Heading1"/>
      </w:pPr>
      <w:r>
        <w:t>Source register</w:t>
      </w:r>
    </w:p>
    <w:p>
      <w:r>
        <w:t>Evidence hierarchy applied: audited statements and exchange filings; official product/company disclosures; regulatory and trial databases; company-reproduced IQVIA market data; credible financial press; Bernstein estimates. Page references are included where available.</w:t>
      </w:r>
    </w:p>
    <w:p>
      <w:pPr>
        <w:spacing w:after="30"/>
      </w:pPr>
      <w:r>
        <w:rPr>
          <w:sz w:val="14"/>
        </w:rPr>
        <w:t xml:space="preserve">[S1] Pfizer Limited, Annual Report FY2025-26, dated 12 May 2026, especially pp. 46-57 and 168-226. </w:t>
      </w:r>
      <w:hyperlink r:id="rId12">
        <w:r>
          <w:rPr>
            <w:color w:val="315C7A"/>
            <w:u w:val="single"/>
          </w:rPr>
          <w:t>Open source</w:t>
        </w:r>
      </w:hyperlink>
    </w:p>
    <w:p>
      <w:pPr>
        <w:spacing w:after="30"/>
      </w:pPr>
      <w:r>
        <w:rPr>
          <w:sz w:val="14"/>
        </w:rPr>
        <w:t xml:space="preserve">[S2] Pfizer Limited, Q1 FY2026-27 unaudited results, 28 July 2026, pp. 4-5. </w:t>
      </w:r>
      <w:hyperlink r:id="rId13">
        <w:r>
          <w:rPr>
            <w:color w:val="315C7A"/>
            <w:u w:val="single"/>
          </w:rPr>
          <w:t>Open source</w:t>
        </w:r>
      </w:hyperlink>
    </w:p>
    <w:p>
      <w:pPr>
        <w:spacing w:after="30"/>
      </w:pPr>
      <w:r>
        <w:rPr>
          <w:sz w:val="14"/>
        </w:rPr>
        <w:t xml:space="preserve">[S3] Pfizer Limited, financial information and historical annual reports. </w:t>
      </w:r>
      <w:hyperlink r:id="rId14">
        <w:r>
          <w:rPr>
            <w:color w:val="315C7A"/>
            <w:u w:val="single"/>
          </w:rPr>
          <w:t>Open source</w:t>
        </w:r>
      </w:hyperlink>
    </w:p>
    <w:p>
      <w:pPr>
        <w:spacing w:after="30"/>
      </w:pPr>
      <w:r>
        <w:rPr>
          <w:sz w:val="14"/>
        </w:rPr>
        <w:t xml:space="preserve">[S4] Pfizer Limited, product price list, 4 July 2026, pp. 1-3. </w:t>
      </w:r>
      <w:hyperlink r:id="rId15">
        <w:r>
          <w:rPr>
            <w:color w:val="315C7A"/>
            <w:u w:val="single"/>
          </w:rPr>
          <w:t>Open source</w:t>
        </w:r>
      </w:hyperlink>
    </w:p>
    <w:p>
      <w:pPr>
        <w:spacing w:after="30"/>
      </w:pPr>
      <w:r>
        <w:rPr>
          <w:sz w:val="14"/>
        </w:rPr>
        <w:t xml:space="preserve">[S5] Pfizer Limited, Minipress XL discontinuation filing, 7 September 2026. </w:t>
      </w:r>
      <w:hyperlink r:id="rId16">
        <w:r>
          <w:rPr>
            <w:color w:val="315C7A"/>
            <w:u w:val="single"/>
          </w:rPr>
          <w:t>Open source</w:t>
        </w:r>
      </w:hyperlink>
    </w:p>
    <w:p>
      <w:pPr>
        <w:spacing w:after="30"/>
      </w:pPr>
      <w:r>
        <w:rPr>
          <w:sz w:val="14"/>
        </w:rPr>
        <w:t xml:space="preserve">[S6] Pfizer Limited, Premarin supply clarification, 17 July 2026. </w:t>
      </w:r>
      <w:hyperlink r:id="rId17">
        <w:r>
          <w:rPr>
            <w:color w:val="315C7A"/>
            <w:u w:val="single"/>
          </w:rPr>
          <w:t>Open source</w:t>
        </w:r>
      </w:hyperlink>
    </w:p>
    <w:p>
      <w:pPr>
        <w:spacing w:after="30"/>
      </w:pPr>
      <w:r>
        <w:rPr>
          <w:sz w:val="14"/>
        </w:rPr>
        <w:t xml:space="preserve">[S7] Pfizer Limited, CFO resignation filing, 27 July 2026. </w:t>
      </w:r>
      <w:hyperlink r:id="rId18">
        <w:r>
          <w:rPr>
            <w:color w:val="315C7A"/>
            <w:u w:val="single"/>
          </w:rPr>
          <w:t>Open source</w:t>
        </w:r>
      </w:hyperlink>
    </w:p>
    <w:p>
      <w:pPr>
        <w:spacing w:after="30"/>
      </w:pPr>
      <w:r>
        <w:rPr>
          <w:sz w:val="14"/>
        </w:rPr>
        <w:t xml:space="preserve">[S8] Pfizer Limited, India manufacturing page, accessed 17 September 2026. </w:t>
      </w:r>
      <w:hyperlink r:id="rId19">
        <w:r>
          <w:rPr>
            <w:color w:val="315C7A"/>
            <w:u w:val="single"/>
          </w:rPr>
          <w:t>Open source</w:t>
        </w:r>
      </w:hyperlink>
    </w:p>
    <w:p>
      <w:pPr>
        <w:spacing w:after="30"/>
      </w:pPr>
      <w:r>
        <w:rPr>
          <w:sz w:val="14"/>
        </w:rPr>
        <w:t xml:space="preserve">[S9] Pfizer Products India Private Limited, Crizalk India label. </w:t>
      </w:r>
      <w:hyperlink r:id="rId20">
        <w:r>
          <w:rPr>
            <w:color w:val="315C7A"/>
            <w:u w:val="single"/>
          </w:rPr>
          <w:t>Open source</w:t>
        </w:r>
      </w:hyperlink>
    </w:p>
    <w:p>
      <w:pPr>
        <w:spacing w:after="30"/>
      </w:pPr>
      <w:r>
        <w:rPr>
          <w:sz w:val="14"/>
        </w:rPr>
        <w:t xml:space="preserve">[S10] Pfizer Products India Private Limited, Palbace India label. </w:t>
      </w:r>
      <w:hyperlink r:id="rId21">
        <w:r>
          <w:rPr>
            <w:color w:val="315C7A"/>
            <w:u w:val="single"/>
          </w:rPr>
          <w:t>Open source</w:t>
        </w:r>
      </w:hyperlink>
    </w:p>
    <w:p>
      <w:pPr>
        <w:spacing w:after="30"/>
      </w:pPr>
      <w:r>
        <w:rPr>
          <w:sz w:val="14"/>
        </w:rPr>
        <w:t xml:space="preserve">[S11] Pfizer Products India Private Limited, Inlyta India label. </w:t>
      </w:r>
      <w:hyperlink r:id="rId22">
        <w:r>
          <w:rPr>
            <w:color w:val="315C7A"/>
            <w:u w:val="single"/>
          </w:rPr>
          <w:t>Open source</w:t>
        </w:r>
      </w:hyperlink>
    </w:p>
    <w:p>
      <w:pPr>
        <w:spacing w:after="30"/>
      </w:pPr>
      <w:r>
        <w:rPr>
          <w:sz w:val="14"/>
        </w:rPr>
        <w:t xml:space="preserve">[S12] Pfizer Products India Private Limited, Eraxis India label. </w:t>
      </w:r>
      <w:hyperlink r:id="rId23">
        <w:r>
          <w:rPr>
            <w:color w:val="315C7A"/>
            <w:u w:val="single"/>
          </w:rPr>
          <w:t>Open source</w:t>
        </w:r>
      </w:hyperlink>
    </w:p>
    <w:p>
      <w:pPr>
        <w:spacing w:after="30"/>
      </w:pPr>
      <w:r>
        <w:rPr>
          <w:sz w:val="14"/>
        </w:rPr>
        <w:t xml:space="preserve">[S13] Pfizer Products India Private Limited, VFEND India label. </w:t>
      </w:r>
      <w:hyperlink r:id="rId24">
        <w:r>
          <w:rPr>
            <w:color w:val="315C7A"/>
            <w:u w:val="single"/>
          </w:rPr>
          <w:t>Open source</w:t>
        </w:r>
      </w:hyperlink>
    </w:p>
    <w:p>
      <w:pPr>
        <w:spacing w:after="30"/>
      </w:pPr>
      <w:r>
        <w:rPr>
          <w:sz w:val="14"/>
        </w:rPr>
        <w:t xml:space="preserve">[S14] Pfizer Products India Private Limited, Xyntha India label. </w:t>
      </w:r>
      <w:hyperlink r:id="rId25">
        <w:r>
          <w:rPr>
            <w:color w:val="315C7A"/>
            <w:u w:val="single"/>
          </w:rPr>
          <w:t>Open source</w:t>
        </w:r>
      </w:hyperlink>
    </w:p>
    <w:p>
      <w:pPr>
        <w:spacing w:after="30"/>
      </w:pPr>
      <w:r>
        <w:rPr>
          <w:sz w:val="14"/>
        </w:rPr>
        <w:t xml:space="preserve">[S15] Department of Pharmaceuticals, Pfizer Products India application relating to Solu-Medrol pricing. </w:t>
      </w:r>
      <w:hyperlink r:id="rId26">
        <w:r>
          <w:rPr>
            <w:color w:val="315C7A"/>
            <w:u w:val="single"/>
          </w:rPr>
          <w:t>Open source</w:t>
        </w:r>
      </w:hyperlink>
    </w:p>
    <w:p>
      <w:pPr>
        <w:spacing w:after="30"/>
      </w:pPr>
      <w:r>
        <w:rPr>
          <w:sz w:val="14"/>
        </w:rPr>
        <w:t xml:space="preserve">[S16] Pfizer India, official contact page listing Pfizer entities and sites, accessed 17 September 2026. </w:t>
      </w:r>
      <w:hyperlink r:id="rId27">
        <w:r>
          <w:rPr>
            <w:color w:val="315C7A"/>
            <w:u w:val="single"/>
          </w:rPr>
          <w:t>Open source</w:t>
        </w:r>
      </w:hyperlink>
    </w:p>
    <w:p>
      <w:pPr>
        <w:spacing w:after="30"/>
      </w:pPr>
      <w:r>
        <w:rPr>
          <w:sz w:val="14"/>
        </w:rPr>
        <w:t xml:space="preserve">[S17] ClinicalTrials.gov, Pfizer-sponsored India study search and individual records, accessed 17 September 2026. </w:t>
      </w:r>
      <w:hyperlink r:id="rId28">
        <w:r>
          <w:rPr>
            <w:color w:val="315C7A"/>
            <w:u w:val="single"/>
          </w:rPr>
          <w:t>Open source</w:t>
        </w:r>
      </w:hyperlink>
    </w:p>
    <w:p>
      <w:pPr>
        <w:spacing w:after="30"/>
      </w:pPr>
      <w:r>
        <w:rPr>
          <w:sz w:val="14"/>
        </w:rPr>
        <w:t xml:space="preserve">[S18] Pfizer Inc., 2025 annual report and pipeline disclosures. </w:t>
      </w:r>
      <w:hyperlink r:id="rId29">
        <w:r>
          <w:rPr>
            <w:color w:val="315C7A"/>
            <w:u w:val="single"/>
          </w:rPr>
          <w:t>Open source</w:t>
        </w:r>
      </w:hyperlink>
    </w:p>
    <w:p>
      <w:pPr>
        <w:spacing w:after="30"/>
      </w:pPr>
      <w:r>
        <w:rPr>
          <w:sz w:val="14"/>
        </w:rPr>
        <w:t xml:space="preserve">[S19] Delhi High Court, Pfizer Limited v Union of India, 1 December 2016. </w:t>
      </w:r>
      <w:hyperlink r:id="rId30">
        <w:r>
          <w:rPr>
            <w:color w:val="315C7A"/>
            <w:u w:val="single"/>
          </w:rPr>
          <w:t>Open source</w:t>
        </w:r>
      </w:hyperlink>
    </w:p>
    <w:p>
      <w:pPr>
        <w:spacing w:after="30"/>
      </w:pPr>
      <w:r>
        <w:rPr>
          <w:sz w:val="14"/>
        </w:rPr>
        <w:t xml:space="preserve">[S20] NPPA official website and price-control notifications, accessed 17 September 2026. </w:t>
      </w:r>
      <w:hyperlink r:id="rId31">
        <w:r>
          <w:rPr>
            <w:color w:val="315C7A"/>
            <w:u w:val="single"/>
          </w:rPr>
          <w:t>Open source</w:t>
        </w:r>
      </w:hyperlink>
    </w:p>
    <w:p>
      <w:pPr>
        <w:spacing w:after="30"/>
      </w:pPr>
      <w:r>
        <w:rPr>
          <w:sz w:val="14"/>
        </w:rPr>
        <w:t xml:space="preserve">[S21] ICICI Direct, Pfizer Limited closing price and market data, 16 September 2026. </w:t>
      </w:r>
      <w:hyperlink r:id="rId32">
        <w:r>
          <w:rPr>
            <w:color w:val="315C7A"/>
            <w:u w:val="single"/>
          </w:rPr>
          <w:t>Open source</w:t>
        </w:r>
      </w:hyperlink>
    </w:p>
    <w:p>
      <w:pPr>
        <w:spacing w:after="30"/>
      </w:pPr>
      <w:r>
        <w:rPr>
          <w:sz w:val="14"/>
        </w:rPr>
        <w:t xml:space="preserve">[S22] Screener, India-listed MNC pharma snapshot, accessed 17 September 2026. </w:t>
      </w:r>
      <w:hyperlink r:id="rId33">
        <w:r>
          <w:rPr>
            <w:color w:val="315C7A"/>
            <w:u w:val="single"/>
          </w:rPr>
          <w:t>Open source</w:t>
        </w:r>
      </w:hyperlink>
    </w:p>
    <w:p>
      <w:pPr>
        <w:spacing w:after="30"/>
      </w:pPr>
      <w:r>
        <w:rPr>
          <w:sz w:val="14"/>
        </w:rPr>
        <w:t xml:space="preserve">[S23] Pfizer Limited, Annual Report FY2024-25, pp. 10-24, 44-57 and financial statements. </w:t>
      </w:r>
      <w:hyperlink r:id="rId34">
        <w:r>
          <w:rPr>
            <w:color w:val="315C7A"/>
            <w:u w:val="single"/>
          </w:rPr>
          <w:t>Open source</w:t>
        </w:r>
      </w:hyperlink>
    </w:p>
    <w:p>
      <w:pPr>
        <w:spacing w:after="30"/>
      </w:pPr>
      <w:r>
        <w:rPr>
          <w:sz w:val="14"/>
        </w:rPr>
        <w:t xml:space="preserve">[S24] Pfizer Limited, Annual Report FY2023-24 and note 43. </w:t>
      </w:r>
      <w:hyperlink r:id="rId35">
        <w:r>
          <w:rPr>
            <w:color w:val="315C7A"/>
            <w:u w:val="single"/>
          </w:rPr>
          <w:t>Open source</w:t>
        </w:r>
      </w:hyperlink>
    </w:p>
    <w:p>
      <w:pPr>
        <w:spacing w:after="30"/>
      </w:pPr>
      <w:r>
        <w:rPr>
          <w:sz w:val="14"/>
        </w:rPr>
        <w:t xml:space="preserve">[S25] Pfizer Limited, Annual Report FY2022-23, Upjohn and Thane transfer sections. </w:t>
      </w:r>
      <w:hyperlink r:id="rId36">
        <w:r>
          <w:rPr>
            <w:color w:val="315C7A"/>
            <w:u w:val="single"/>
          </w:rPr>
          <w:t>Open source</w:t>
        </w:r>
      </w:hyperlink>
    </w:p>
    <w:p>
      <w:pPr>
        <w:keepNext/>
      </w:pPr>
      <w:r>
        <w:rPr>
          <w:color w:val="9B1C31"/>
          <w:sz w:val="18"/>
        </w:rPr>
        <w:t>Definitions</w:t>
      </w:r>
    </w:p>
    <w:p>
      <w:r>
        <w:t>A: audited/reported actual. M: market data reported by the company or cited provider. C: calculation from reported inputs. BE: Bernstein estimate based on disclosed evidence. N/D: not disclosed. N/V: could not be independently verified. All monetary values are Indian rupees unless stated. FY26 means year ended 31 March 2026.</w:t>
      </w:r>
    </w:p>
    <w:p>
      <w:r>
        <w:rPr>
          <w:color w:val="59636E"/>
          <w:sz w:val="14"/>
        </w:rPr>
        <w:t>This document is independent research analysis, not investment advice. It is not affiliated with Bernstein, Pfizer Limited or Pfizer Inc. Estimates should be replaced when proprietary IQVIA, Bloomberg, MCA and company product data become available.</w:t>
      </w:r>
    </w:p>
    <w:p>
      <w:pPr>
        <w:pStyle w:val="Heading1"/>
      </w:pPr>
      <w:r>
        <w:t>Quality-control confirmation</w:t>
      </w:r>
    </w:p>
    <w:p>
      <w:pPr>
        <w:pStyle w:val="ListBullet"/>
        <w:spacing w:after="30"/>
        <w:ind w:left="259" w:hanging="173"/>
      </w:pPr>
      <w:r>
        <w:t>Product-level Bernstein allocations reconcile to audited product sales.</w:t>
      </w:r>
    </w:p>
    <w:p>
      <w:pPr>
        <w:pStyle w:val="ListBullet"/>
        <w:spacing w:after="30"/>
        <w:ind w:left="259" w:hanging="173"/>
      </w:pPr>
      <w:r>
        <w:t>Standalone figures are used throughout; listed and private entities are separated and no private affiliate is consolidated.</w:t>
      </w:r>
    </w:p>
    <w:p>
      <w:pPr>
        <w:pStyle w:val="ListBullet"/>
        <w:spacing w:after="30"/>
        <w:ind w:left="259" w:hanging="173"/>
      </w:pPr>
      <w:r>
        <w:t>Global products and clinical trials are not attributed to Pfizer Limited without official marketer evidence.</w:t>
      </w:r>
    </w:p>
    <w:p>
      <w:pPr>
        <w:pStyle w:val="ListBullet"/>
        <w:spacing w:after="30"/>
        <w:ind w:left="259" w:hanging="173"/>
      </w:pPr>
      <w:r>
        <w:t>Duplicate trials are consolidated; exceptional gains and charges are separated from core PBT and EPS.</w:t>
      </w:r>
    </w:p>
    <w:p>
      <w:pPr>
        <w:pStyle w:val="ListBullet"/>
        <w:spacing w:after="30"/>
        <w:ind w:left="259" w:hanging="173"/>
      </w:pPr>
      <w:r>
        <w:t>Market data are timestamped; actuals, market data, calculations and Bernstein estimates are labelled.</w:t>
      </w:r>
    </w:p>
    <w:p>
      <w:pPr>
        <w:pStyle w:val="ListBullet"/>
        <w:spacing w:after="30"/>
        <w:ind w:left="259" w:hanging="173"/>
      </w:pPr>
      <w:r>
        <w:t>Unresolved evidence gaps are listed below; no unsupported precision is treated as fact.</w:t>
      </w:r>
    </w:p>
    <w:p>
      <w:pPr>
        <w:pStyle w:val="Heading2"/>
      </w:pPr>
      <w:r>
        <w:t>Unresolved questions and evidence still required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Evidence gap</w:t>
            </w:r>
          </w:p>
        </w:tc>
        <w:tc>
          <w:tcPr>
            <w:tcW w:type="dxa" w:w="4032"/>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Specific item needed</w:t>
            </w:r>
          </w:p>
        </w:tc>
        <w:tc>
          <w:tcPr>
            <w:tcW w:type="dxa" w:w="4320"/>
            <w:shd w:fill="9B1C31"/>
            <w:tcMar>
              <w:top w:w="55" w:type="dxa"/>
              <w:start w:w="70" w:type="dxa"/>
              <w:bottom w:w="55" w:type="dxa"/>
              <w:end w:w="70" w:type="dxa"/>
            </w:tcMar>
            <w:vAlign w:val="center"/>
          </w:tcPr>
          <w:p>
            <w:pPr>
              <w:spacing w:line="240" w:lineRule="auto" w:after="10"/>
              <w:jc w:val="left"/>
            </w:pPr>
            <w:r>
              <w:rPr>
                <w:rFonts w:ascii="Arial" w:hAnsi="Arial"/>
                <w:b/>
                <w:color w:val="FFFFFF"/>
                <w:sz w:val="13"/>
              </w:rPr>
              <w:t>Why it matters</w:t>
            </w:r>
          </w:p>
        </w:tc>
      </w:tr>
      <w:tr>
        <w:trPr>
          <w:cantSplit/>
        </w:trPr>
        <w:tc>
          <w:tcPr>
            <w:tcW w:type="dxa" w:w="2232"/>
            <w:tcMar>
              <w:top w:w="55" w:type="dxa"/>
              <w:start w:w="70" w:type="dxa"/>
              <w:bottom w:w="55" w:type="dxa"/>
              <w:end w:w="70" w:type="dxa"/>
            </w:tcMar>
            <w:vAlign w:val="top"/>
          </w:tcPr>
          <w:p>
            <w:pPr>
              <w:spacing w:after="10" w:line="240" w:lineRule="auto"/>
            </w:pPr>
            <w:r>
              <w:rPr>
                <w:rFonts w:ascii="Arial" w:hAnsi="Arial"/>
                <w:b/>
                <w:sz w:val="13"/>
              </w:rPr>
              <w:t>Product-level audited sales</w:t>
            </w:r>
          </w:p>
        </w:tc>
        <w:tc>
          <w:tcPr>
            <w:tcW w:type="dxa" w:w="4032"/>
            <w:tcMar>
              <w:top w:w="55" w:type="dxa"/>
              <w:start w:w="70" w:type="dxa"/>
              <w:bottom w:w="55" w:type="dxa"/>
              <w:end w:w="70" w:type="dxa"/>
            </w:tcMar>
            <w:vAlign w:val="top"/>
          </w:tcPr>
          <w:p>
            <w:pPr>
              <w:spacing w:after="10" w:line="240" w:lineRule="auto"/>
            </w:pPr>
            <w:r>
              <w:rPr>
                <w:rFonts w:ascii="Arial" w:hAnsi="Arial"/>
                <w:sz w:val="13"/>
              </w:rPr>
              <w:t>Company brand net sales FY24-FY26</w:t>
            </w:r>
          </w:p>
        </w:tc>
        <w:tc>
          <w:tcPr>
            <w:tcW w:type="dxa" w:w="4320"/>
            <w:tcMar>
              <w:top w:w="55" w:type="dxa"/>
              <w:start w:w="70" w:type="dxa"/>
              <w:bottom w:w="55" w:type="dxa"/>
              <w:end w:w="70" w:type="dxa"/>
            </w:tcMar>
            <w:vAlign w:val="top"/>
          </w:tcPr>
          <w:p>
            <w:pPr>
              <w:spacing w:after="10" w:line="240" w:lineRule="auto"/>
            </w:pPr>
            <w:r>
              <w:rPr>
                <w:rFonts w:ascii="Arial" w:hAnsi="Arial"/>
                <w:sz w:val="13"/>
              </w:rPr>
              <w:t>Required to replace low-confidence portfolio allocation</w:t>
            </w:r>
          </w:p>
        </w:tc>
      </w:tr>
      <w:tr>
        <w:trPr>
          <w:cantSplit/>
        </w:trPr>
        <w:tc>
          <w:tcPr>
            <w:tcW w:type="dxa" w:w="2232"/>
            <w:shd w:fill="F7F7F7"/>
            <w:tcMar>
              <w:top w:w="55" w:type="dxa"/>
              <w:start w:w="70" w:type="dxa"/>
              <w:bottom w:w="55" w:type="dxa"/>
              <w:end w:w="70" w:type="dxa"/>
            </w:tcMar>
            <w:vAlign w:val="top"/>
          </w:tcPr>
          <w:p>
            <w:pPr>
              <w:spacing w:after="10" w:line="240" w:lineRule="auto"/>
            </w:pPr>
            <w:r>
              <w:rPr>
                <w:rFonts w:ascii="Arial" w:hAnsi="Arial"/>
                <w:b/>
                <w:sz w:val="13"/>
              </w:rPr>
              <w:t>IQVIA raw extracts</w:t>
            </w:r>
          </w:p>
        </w:tc>
        <w:tc>
          <w:tcPr>
            <w:tcW w:type="dxa" w:w="4032"/>
            <w:shd w:fill="F7F7F7"/>
            <w:tcMar>
              <w:top w:w="55" w:type="dxa"/>
              <w:start w:w="70" w:type="dxa"/>
              <w:bottom w:w="55" w:type="dxa"/>
              <w:end w:w="70" w:type="dxa"/>
            </w:tcMar>
            <w:vAlign w:val="top"/>
          </w:tcPr>
          <w:p>
            <w:pPr>
              <w:spacing w:after="10" w:line="240" w:lineRule="auto"/>
            </w:pPr>
            <w:r>
              <w:rPr>
                <w:rFonts w:ascii="Arial" w:hAnsi="Arial"/>
                <w:sz w:val="13"/>
              </w:rPr>
              <w:t>Brand, molecule and therapy values/volumes/shares MAT Mar-24 to Mar-26</w:t>
            </w:r>
          </w:p>
        </w:tc>
        <w:tc>
          <w:tcPr>
            <w:tcW w:type="dxa" w:w="4320"/>
            <w:shd w:fill="F7F7F7"/>
            <w:tcMar>
              <w:top w:w="55" w:type="dxa"/>
              <w:start w:w="70" w:type="dxa"/>
              <w:bottom w:w="55" w:type="dxa"/>
              <w:end w:w="70" w:type="dxa"/>
            </w:tcMar>
            <w:vAlign w:val="top"/>
          </w:tcPr>
          <w:p>
            <w:pPr>
              <w:spacing w:after="10" w:line="240" w:lineRule="auto"/>
            </w:pPr>
            <w:r>
              <w:rPr>
                <w:rFonts w:ascii="Arial" w:hAnsi="Arial"/>
                <w:sz w:val="13"/>
              </w:rPr>
              <w:t>Required for product growth versus market and concentration exhibits</w:t>
            </w:r>
          </w:p>
        </w:tc>
      </w:tr>
      <w:tr>
        <w:trPr>
          <w:cantSplit/>
        </w:trPr>
        <w:tc>
          <w:tcPr>
            <w:tcW w:type="dxa" w:w="2232"/>
            <w:tcMar>
              <w:top w:w="55" w:type="dxa"/>
              <w:start w:w="70" w:type="dxa"/>
              <w:bottom w:w="55" w:type="dxa"/>
              <w:end w:w="70" w:type="dxa"/>
            </w:tcMar>
            <w:vAlign w:val="top"/>
          </w:tcPr>
          <w:p>
            <w:pPr>
              <w:spacing w:after="10" w:line="240" w:lineRule="auto"/>
            </w:pPr>
            <w:r>
              <w:rPr>
                <w:rFonts w:ascii="Arial" w:hAnsi="Arial"/>
                <w:b/>
                <w:sz w:val="13"/>
              </w:rPr>
              <w:t>Bloomberg/FactSet</w:t>
            </w:r>
          </w:p>
        </w:tc>
        <w:tc>
          <w:tcPr>
            <w:tcW w:type="dxa" w:w="4032"/>
            <w:tcMar>
              <w:top w:w="55" w:type="dxa"/>
              <w:start w:w="70" w:type="dxa"/>
              <w:bottom w:w="55" w:type="dxa"/>
              <w:end w:w="70" w:type="dxa"/>
            </w:tcMar>
            <w:vAlign w:val="top"/>
          </w:tcPr>
          <w:p>
            <w:pPr>
              <w:spacing w:after="10" w:line="240" w:lineRule="auto"/>
            </w:pPr>
            <w:r>
              <w:rPr>
                <w:rFonts w:ascii="Arial" w:hAnsi="Arial"/>
                <w:sz w:val="13"/>
              </w:rPr>
              <w:t>Daily prices, monthly P/E, consensus EPS and peer forward multiples</w:t>
            </w:r>
          </w:p>
        </w:tc>
        <w:tc>
          <w:tcPr>
            <w:tcW w:type="dxa" w:w="4320"/>
            <w:tcMar>
              <w:top w:w="55" w:type="dxa"/>
              <w:start w:w="70" w:type="dxa"/>
              <w:bottom w:w="55" w:type="dxa"/>
              <w:end w:w="70" w:type="dxa"/>
            </w:tcMar>
            <w:vAlign w:val="top"/>
          </w:tcPr>
          <w:p>
            <w:pPr>
              <w:spacing w:after="10" w:line="240" w:lineRule="auto"/>
            </w:pPr>
            <w:r>
              <w:rPr>
                <w:rFonts w:ascii="Arial" w:hAnsi="Arial"/>
                <w:sz w:val="13"/>
              </w:rPr>
              <w:t>Required for historical band and NTM/FY28/FY29 peer table</w:t>
            </w:r>
          </w:p>
        </w:tc>
      </w:tr>
      <w:tr>
        <w:trPr>
          <w:cantSplit/>
        </w:trPr>
        <w:tc>
          <w:tcPr>
            <w:tcW w:type="dxa" w:w="2232"/>
            <w:shd w:fill="F7F7F7"/>
            <w:tcMar>
              <w:top w:w="55" w:type="dxa"/>
              <w:start w:w="70" w:type="dxa"/>
              <w:bottom w:w="55" w:type="dxa"/>
              <w:end w:w="70" w:type="dxa"/>
            </w:tcMar>
            <w:vAlign w:val="top"/>
          </w:tcPr>
          <w:p>
            <w:pPr>
              <w:spacing w:after="10" w:line="240" w:lineRule="auto"/>
            </w:pPr>
            <w:r>
              <w:rPr>
                <w:rFonts w:ascii="Arial" w:hAnsi="Arial"/>
                <w:b/>
                <w:sz w:val="13"/>
              </w:rPr>
              <w:t>Private affiliate financials</w:t>
            </w:r>
          </w:p>
        </w:tc>
        <w:tc>
          <w:tcPr>
            <w:tcW w:type="dxa" w:w="4032"/>
            <w:shd w:fill="F7F7F7"/>
            <w:tcMar>
              <w:top w:w="55" w:type="dxa"/>
              <w:start w:w="70" w:type="dxa"/>
              <w:bottom w:w="55" w:type="dxa"/>
              <w:end w:w="70" w:type="dxa"/>
            </w:tcMar>
            <w:vAlign w:val="top"/>
          </w:tcPr>
          <w:p>
            <w:pPr>
              <w:spacing w:after="10" w:line="240" w:lineRule="auto"/>
            </w:pPr>
            <w:r>
              <w:rPr>
                <w:rFonts w:ascii="Arial" w:hAnsi="Arial"/>
                <w:sz w:val="13"/>
              </w:rPr>
              <w:t>MCA financial statements for PPIPL and PHIPL</w:t>
            </w:r>
          </w:p>
        </w:tc>
        <w:tc>
          <w:tcPr>
            <w:tcW w:type="dxa" w:w="4320"/>
            <w:shd w:fill="F7F7F7"/>
            <w:tcMar>
              <w:top w:w="55" w:type="dxa"/>
              <w:start w:w="70" w:type="dxa"/>
              <w:bottom w:w="55" w:type="dxa"/>
              <w:end w:w="70" w:type="dxa"/>
            </w:tcMar>
            <w:vAlign w:val="top"/>
          </w:tcPr>
          <w:p>
            <w:pPr>
              <w:spacing w:after="10" w:line="240" w:lineRule="auto"/>
            </w:pPr>
            <w:r>
              <w:rPr>
                <w:rFonts w:ascii="Arial" w:hAnsi="Arial"/>
                <w:sz w:val="13"/>
              </w:rPr>
              <w:t>Required to quantify outside-perimeter revenue and profit</w:t>
            </w:r>
          </w:p>
        </w:tc>
      </w:tr>
      <w:tr>
        <w:trPr>
          <w:cantSplit/>
        </w:trPr>
        <w:tc>
          <w:tcPr>
            <w:tcW w:type="dxa" w:w="2232"/>
            <w:tcMar>
              <w:top w:w="55" w:type="dxa"/>
              <w:start w:w="70" w:type="dxa"/>
              <w:bottom w:w="55" w:type="dxa"/>
              <w:end w:w="70" w:type="dxa"/>
            </w:tcMar>
            <w:vAlign w:val="top"/>
          </w:tcPr>
          <w:p>
            <w:pPr>
              <w:spacing w:after="10" w:line="240" w:lineRule="auto"/>
            </w:pPr>
            <w:r>
              <w:rPr>
                <w:rFonts w:ascii="Arial" w:hAnsi="Arial"/>
                <w:b/>
                <w:sz w:val="13"/>
              </w:rPr>
              <w:t>Commercial rights</w:t>
            </w:r>
          </w:p>
        </w:tc>
        <w:tc>
          <w:tcPr>
            <w:tcW w:type="dxa" w:w="4032"/>
            <w:tcMar>
              <w:top w:w="55" w:type="dxa"/>
              <w:start w:w="70" w:type="dxa"/>
              <w:bottom w:w="55" w:type="dxa"/>
              <w:end w:w="70" w:type="dxa"/>
            </w:tcMar>
            <w:vAlign w:val="top"/>
          </w:tcPr>
          <w:p>
            <w:pPr>
              <w:spacing w:after="10" w:line="240" w:lineRule="auto"/>
            </w:pPr>
            <w:r>
              <w:rPr>
                <w:rFonts w:ascii="Arial" w:hAnsi="Arial"/>
                <w:sz w:val="13"/>
              </w:rPr>
              <w:t>Marketing-authorisation holder and commercial contracts by product</w:t>
            </w:r>
          </w:p>
        </w:tc>
        <w:tc>
          <w:tcPr>
            <w:tcW w:type="dxa" w:w="4320"/>
            <w:tcMar>
              <w:top w:w="55" w:type="dxa"/>
              <w:start w:w="70" w:type="dxa"/>
              <w:bottom w:w="55" w:type="dxa"/>
              <w:end w:w="70" w:type="dxa"/>
            </w:tcMar>
            <w:vAlign w:val="top"/>
          </w:tcPr>
          <w:p>
            <w:pPr>
              <w:spacing w:after="10" w:line="240" w:lineRule="auto"/>
            </w:pPr>
            <w:r>
              <w:rPr>
                <w:rFonts w:ascii="Arial" w:hAnsi="Arial"/>
                <w:sz w:val="13"/>
              </w:rPr>
              <w:t>Required to establish pipeline entitlement</w:t>
            </w:r>
          </w:p>
        </w:tc>
      </w:tr>
      <w:tr>
        <w:trPr>
          <w:cantSplit/>
        </w:trPr>
        <w:tc>
          <w:tcPr>
            <w:tcW w:type="dxa" w:w="2232"/>
            <w:shd w:fill="F7F7F7"/>
            <w:tcMar>
              <w:top w:w="55" w:type="dxa"/>
              <w:start w:w="70" w:type="dxa"/>
              <w:bottom w:w="55" w:type="dxa"/>
              <w:end w:w="70" w:type="dxa"/>
            </w:tcMar>
            <w:vAlign w:val="top"/>
          </w:tcPr>
          <w:p>
            <w:pPr>
              <w:spacing w:after="10" w:line="240" w:lineRule="auto"/>
            </w:pPr>
            <w:r>
              <w:rPr>
                <w:rFonts w:ascii="Arial" w:hAnsi="Arial"/>
                <w:b/>
                <w:sz w:val="13"/>
              </w:rPr>
              <w:t>Transfer pricing</w:t>
            </w:r>
          </w:p>
        </w:tc>
        <w:tc>
          <w:tcPr>
            <w:tcW w:type="dxa" w:w="4032"/>
            <w:shd w:fill="F7F7F7"/>
            <w:tcMar>
              <w:top w:w="55" w:type="dxa"/>
              <w:start w:w="70" w:type="dxa"/>
              <w:bottom w:w="55" w:type="dxa"/>
              <w:end w:w="70" w:type="dxa"/>
            </w:tcMar>
            <w:vAlign w:val="top"/>
          </w:tcPr>
          <w:p>
            <w:pPr>
              <w:spacing w:after="10" w:line="240" w:lineRule="auto"/>
            </w:pPr>
            <w:r>
              <w:rPr>
                <w:rFonts w:ascii="Arial" w:hAnsi="Arial"/>
                <w:sz w:val="13"/>
              </w:rPr>
              <w:t>Intercompany supply/service agreements and method</w:t>
            </w:r>
          </w:p>
        </w:tc>
        <w:tc>
          <w:tcPr>
            <w:tcW w:type="dxa" w:w="4320"/>
            <w:shd w:fill="F7F7F7"/>
            <w:tcMar>
              <w:top w:w="55" w:type="dxa"/>
              <w:start w:w="70" w:type="dxa"/>
              <w:bottom w:w="55" w:type="dxa"/>
              <w:end w:w="70" w:type="dxa"/>
            </w:tcMar>
            <w:vAlign w:val="top"/>
          </w:tcPr>
          <w:p>
            <w:pPr>
              <w:spacing w:after="10" w:line="240" w:lineRule="auto"/>
            </w:pPr>
            <w:r>
              <w:rPr>
                <w:rFonts w:ascii="Arial" w:hAnsi="Arial"/>
                <w:sz w:val="13"/>
              </w:rPr>
              <w:t>Required to assess related-party margin fairness</w:t>
            </w:r>
          </w:p>
        </w:tc>
      </w:tr>
      <w:tr>
        <w:trPr>
          <w:cantSplit/>
        </w:trPr>
        <w:tc>
          <w:tcPr>
            <w:tcW w:type="dxa" w:w="2232"/>
            <w:tcMar>
              <w:top w:w="55" w:type="dxa"/>
              <w:start w:w="70" w:type="dxa"/>
              <w:bottom w:w="55" w:type="dxa"/>
              <w:end w:w="70" w:type="dxa"/>
            </w:tcMar>
            <w:vAlign w:val="top"/>
          </w:tcPr>
          <w:p>
            <w:pPr>
              <w:spacing w:after="10" w:line="240" w:lineRule="auto"/>
            </w:pPr>
            <w:r>
              <w:rPr>
                <w:rFonts w:ascii="Arial" w:hAnsi="Arial"/>
                <w:b/>
                <w:sz w:val="13"/>
              </w:rPr>
              <w:t>Field force</w:t>
            </w:r>
          </w:p>
        </w:tc>
        <w:tc>
          <w:tcPr>
            <w:tcW w:type="dxa" w:w="4032"/>
            <w:tcMar>
              <w:top w:w="55" w:type="dxa"/>
              <w:start w:w="70" w:type="dxa"/>
              <w:bottom w:w="55" w:type="dxa"/>
              <w:end w:w="70" w:type="dxa"/>
            </w:tcMar>
            <w:vAlign w:val="top"/>
          </w:tcPr>
          <w:p>
            <w:pPr>
              <w:spacing w:after="10" w:line="240" w:lineRule="auto"/>
            </w:pPr>
            <w:r>
              <w:rPr>
                <w:rFonts w:ascii="Arial" w:hAnsi="Arial"/>
                <w:sz w:val="13"/>
              </w:rPr>
              <w:t>MR count and costs by franchise/entity</w:t>
            </w:r>
          </w:p>
        </w:tc>
        <w:tc>
          <w:tcPr>
            <w:tcW w:type="dxa" w:w="4320"/>
            <w:tcMar>
              <w:top w:w="55" w:type="dxa"/>
              <w:start w:w="70" w:type="dxa"/>
              <w:bottom w:w="55" w:type="dxa"/>
              <w:end w:w="70" w:type="dxa"/>
            </w:tcMar>
            <w:vAlign w:val="top"/>
          </w:tcPr>
          <w:p>
            <w:pPr>
              <w:spacing w:after="10" w:line="240" w:lineRule="auto"/>
            </w:pPr>
            <w:r>
              <w:rPr>
                <w:rFonts w:ascii="Arial" w:hAnsi="Arial"/>
                <w:sz w:val="13"/>
              </w:rPr>
              <w:t>Required for productivity and shared-infrastructure analysis</w:t>
            </w:r>
          </w:p>
        </w:tc>
      </w:tr>
      <w:tr>
        <w:trPr>
          <w:cantSplit/>
        </w:trPr>
        <w:tc>
          <w:tcPr>
            <w:tcW w:type="dxa" w:w="2232"/>
            <w:shd w:fill="F7F7F7"/>
            <w:tcMar>
              <w:top w:w="55" w:type="dxa"/>
              <w:start w:w="70" w:type="dxa"/>
              <w:bottom w:w="55" w:type="dxa"/>
              <w:end w:w="70" w:type="dxa"/>
            </w:tcMar>
            <w:vAlign w:val="top"/>
          </w:tcPr>
          <w:p>
            <w:pPr>
              <w:spacing w:after="10" w:line="240" w:lineRule="auto"/>
            </w:pPr>
            <w:r>
              <w:rPr>
                <w:rFonts w:ascii="Arial" w:hAnsi="Arial"/>
                <w:b/>
                <w:sz w:val="13"/>
              </w:rPr>
              <w:t>Manufacturing</w:t>
            </w:r>
          </w:p>
        </w:tc>
        <w:tc>
          <w:tcPr>
            <w:tcW w:type="dxa" w:w="4032"/>
            <w:shd w:fill="F7F7F7"/>
            <w:tcMar>
              <w:top w:w="55" w:type="dxa"/>
              <w:start w:w="70" w:type="dxa"/>
              <w:bottom w:w="55" w:type="dxa"/>
              <w:end w:w="70" w:type="dxa"/>
            </w:tcMar>
            <w:vAlign w:val="top"/>
          </w:tcPr>
          <w:p>
            <w:pPr>
              <w:spacing w:after="10" w:line="240" w:lineRule="auto"/>
            </w:pPr>
            <w:r>
              <w:rPr>
                <w:rFonts w:ascii="Arial" w:hAnsi="Arial"/>
                <w:sz w:val="13"/>
              </w:rPr>
              <w:t>SKU sourcing, capacity utilisation, import content and quality history</w:t>
            </w:r>
          </w:p>
        </w:tc>
        <w:tc>
          <w:tcPr>
            <w:tcW w:type="dxa" w:w="4320"/>
            <w:shd w:fill="F7F7F7"/>
            <w:tcMar>
              <w:top w:w="55" w:type="dxa"/>
              <w:start w:w="70" w:type="dxa"/>
              <w:bottom w:w="55" w:type="dxa"/>
              <w:end w:w="70" w:type="dxa"/>
            </w:tcMar>
            <w:vAlign w:val="top"/>
          </w:tcPr>
          <w:p>
            <w:pPr>
              <w:spacing w:after="10" w:line="240" w:lineRule="auto"/>
            </w:pPr>
            <w:r>
              <w:rPr>
                <w:rFonts w:ascii="Arial" w:hAnsi="Arial"/>
                <w:sz w:val="13"/>
              </w:rPr>
              <w:t>Required for product-level gross-margin risk</w:t>
            </w:r>
          </w:p>
        </w:tc>
      </w:tr>
      <w:tr>
        <w:trPr>
          <w:cantSplit/>
        </w:trPr>
        <w:tc>
          <w:tcPr>
            <w:tcW w:type="dxa" w:w="2232"/>
            <w:tcMar>
              <w:top w:w="55" w:type="dxa"/>
              <w:start w:w="70" w:type="dxa"/>
              <w:bottom w:w="55" w:type="dxa"/>
              <w:end w:w="70" w:type="dxa"/>
            </w:tcMar>
            <w:vAlign w:val="top"/>
          </w:tcPr>
          <w:p>
            <w:pPr>
              <w:spacing w:after="10" w:line="240" w:lineRule="auto"/>
            </w:pPr>
            <w:r>
              <w:rPr>
                <w:rFonts w:ascii="Arial" w:hAnsi="Arial"/>
                <w:b/>
                <w:sz w:val="13"/>
              </w:rPr>
              <w:t>Regulatory pipeline</w:t>
            </w:r>
          </w:p>
        </w:tc>
        <w:tc>
          <w:tcPr>
            <w:tcW w:type="dxa" w:w="4032"/>
            <w:tcMar>
              <w:top w:w="55" w:type="dxa"/>
              <w:start w:w="70" w:type="dxa"/>
              <w:bottom w:w="55" w:type="dxa"/>
              <w:end w:w="70" w:type="dxa"/>
            </w:tcMar>
            <w:vAlign w:val="top"/>
          </w:tcPr>
          <w:p>
            <w:pPr>
              <w:spacing w:after="10" w:line="240" w:lineRule="auto"/>
            </w:pPr>
            <w:r>
              <w:rPr>
                <w:rFonts w:ascii="Arial" w:hAnsi="Arial"/>
                <w:sz w:val="13"/>
              </w:rPr>
              <w:t>CTRI export and CDSCO approvals by all Pfizer legal entities</w:t>
            </w:r>
          </w:p>
        </w:tc>
        <w:tc>
          <w:tcPr>
            <w:tcW w:type="dxa" w:w="4320"/>
            <w:tcMar>
              <w:top w:w="55" w:type="dxa"/>
              <w:start w:w="70" w:type="dxa"/>
              <w:bottom w:w="55" w:type="dxa"/>
              <w:end w:w="70" w:type="dxa"/>
            </w:tcMar>
            <w:vAlign w:val="top"/>
          </w:tcPr>
          <w:p>
            <w:pPr>
              <w:spacing w:after="10" w:line="240" w:lineRule="auto"/>
            </w:pPr>
            <w:r>
              <w:rPr>
                <w:rFonts w:ascii="Arial" w:hAnsi="Arial"/>
                <w:sz w:val="13"/>
              </w:rPr>
              <w:t>Required to complete India-linked pipeline and remove registry uncertainty</w:t>
            </w:r>
          </w:p>
        </w:tc>
      </w:tr>
      <w:tr>
        <w:trPr>
          <w:cantSplit/>
        </w:trPr>
        <w:tc>
          <w:tcPr>
            <w:tcW w:type="dxa" w:w="2232"/>
            <w:shd w:fill="F7F7F7"/>
            <w:tcMar>
              <w:top w:w="55" w:type="dxa"/>
              <w:start w:w="70" w:type="dxa"/>
              <w:bottom w:w="55" w:type="dxa"/>
              <w:end w:w="70" w:type="dxa"/>
            </w:tcMar>
            <w:vAlign w:val="top"/>
          </w:tcPr>
          <w:p>
            <w:pPr>
              <w:spacing w:after="10" w:line="240" w:lineRule="auto"/>
            </w:pPr>
            <w:r>
              <w:rPr>
                <w:rFonts w:ascii="Arial" w:hAnsi="Arial"/>
                <w:b/>
                <w:sz w:val="13"/>
              </w:rPr>
              <w:t>Patents/exclusivity</w:t>
            </w:r>
          </w:p>
        </w:tc>
        <w:tc>
          <w:tcPr>
            <w:tcW w:type="dxa" w:w="4032"/>
            <w:shd w:fill="F7F7F7"/>
            <w:tcMar>
              <w:top w:w="55" w:type="dxa"/>
              <w:start w:w="70" w:type="dxa"/>
              <w:bottom w:w="55" w:type="dxa"/>
              <w:end w:w="70" w:type="dxa"/>
            </w:tcMar>
            <w:vAlign w:val="top"/>
          </w:tcPr>
          <w:p>
            <w:pPr>
              <w:spacing w:after="10" w:line="240" w:lineRule="auto"/>
            </w:pPr>
            <w:r>
              <w:rPr>
                <w:rFonts w:ascii="Arial" w:hAnsi="Arial"/>
                <w:sz w:val="13"/>
              </w:rPr>
              <w:t>India patent families, SPC equivalents, litigation and expiry by product</w:t>
            </w:r>
          </w:p>
        </w:tc>
        <w:tc>
          <w:tcPr>
            <w:tcW w:type="dxa" w:w="4320"/>
            <w:shd w:fill="F7F7F7"/>
            <w:tcMar>
              <w:top w:w="55" w:type="dxa"/>
              <w:start w:w="70" w:type="dxa"/>
              <w:bottom w:w="55" w:type="dxa"/>
              <w:end w:w="70" w:type="dxa"/>
            </w:tcMar>
            <w:vAlign w:val="top"/>
          </w:tcPr>
          <w:p>
            <w:pPr>
              <w:spacing w:after="10" w:line="240" w:lineRule="auto"/>
            </w:pPr>
            <w:r>
              <w:rPr>
                <w:rFonts w:ascii="Arial" w:hAnsi="Arial"/>
                <w:sz w:val="13"/>
              </w:rPr>
              <w:t>Required for exclusivity map</w:t>
            </w:r>
          </w:p>
        </w:tc>
      </w:tr>
      <w:tr>
        <w:trPr>
          <w:cantSplit/>
        </w:trPr>
        <w:tc>
          <w:tcPr>
            <w:tcW w:type="dxa" w:w="2232"/>
            <w:tcMar>
              <w:top w:w="55" w:type="dxa"/>
              <w:start w:w="70" w:type="dxa"/>
              <w:bottom w:w="55" w:type="dxa"/>
              <w:end w:w="70" w:type="dxa"/>
            </w:tcMar>
            <w:vAlign w:val="top"/>
          </w:tcPr>
          <w:p>
            <w:pPr>
              <w:spacing w:after="10" w:line="240" w:lineRule="auto"/>
            </w:pPr>
            <w:r>
              <w:rPr>
                <w:rFonts w:ascii="Arial" w:hAnsi="Arial"/>
                <w:b/>
                <w:sz w:val="13"/>
              </w:rPr>
              <w:t>NLEM/NPPA</w:t>
            </w:r>
          </w:p>
        </w:tc>
        <w:tc>
          <w:tcPr>
            <w:tcW w:type="dxa" w:w="4032"/>
            <w:tcMar>
              <w:top w:w="55" w:type="dxa"/>
              <w:start w:w="70" w:type="dxa"/>
              <w:bottom w:w="55" w:type="dxa"/>
              <w:end w:w="70" w:type="dxa"/>
            </w:tcMar>
            <w:vAlign w:val="top"/>
          </w:tcPr>
          <w:p>
            <w:pPr>
              <w:spacing w:after="10" w:line="240" w:lineRule="auto"/>
            </w:pPr>
            <w:r>
              <w:rPr>
                <w:rFonts w:ascii="Arial" w:hAnsi="Arial"/>
                <w:sz w:val="13"/>
              </w:rPr>
              <w:t>Current product-level ceiling-price mapping</w:t>
            </w:r>
          </w:p>
        </w:tc>
        <w:tc>
          <w:tcPr>
            <w:tcW w:type="dxa" w:w="4320"/>
            <w:tcMar>
              <w:top w:w="55" w:type="dxa"/>
              <w:start w:w="70" w:type="dxa"/>
              <w:bottom w:w="55" w:type="dxa"/>
              <w:end w:w="70" w:type="dxa"/>
            </w:tcMar>
            <w:vAlign w:val="top"/>
          </w:tcPr>
          <w:p>
            <w:pPr>
              <w:spacing w:after="10" w:line="240" w:lineRule="auto"/>
            </w:pPr>
            <w:r>
              <w:rPr>
                <w:rFonts w:ascii="Arial" w:hAnsi="Arial"/>
                <w:sz w:val="13"/>
              </w:rPr>
              <w:t>Required to quantify revenue at risk under price control</w:t>
            </w:r>
          </w:p>
        </w:tc>
      </w:tr>
      <w:tr>
        <w:trPr>
          <w:cantSplit/>
        </w:trPr>
        <w:tc>
          <w:tcPr>
            <w:tcW w:type="dxa" w:w="2232"/>
            <w:shd w:fill="F7F7F7"/>
            <w:tcMar>
              <w:top w:w="55" w:type="dxa"/>
              <w:start w:w="70" w:type="dxa"/>
              <w:bottom w:w="55" w:type="dxa"/>
              <w:end w:w="70" w:type="dxa"/>
            </w:tcMar>
            <w:vAlign w:val="top"/>
          </w:tcPr>
          <w:p>
            <w:pPr>
              <w:spacing w:after="10" w:line="240" w:lineRule="auto"/>
            </w:pPr>
            <w:r>
              <w:rPr>
                <w:rFonts w:ascii="Arial" w:hAnsi="Arial"/>
                <w:b/>
                <w:sz w:val="13"/>
              </w:rPr>
              <w:t>AGM evidence</w:t>
            </w:r>
          </w:p>
        </w:tc>
        <w:tc>
          <w:tcPr>
            <w:tcW w:type="dxa" w:w="4032"/>
            <w:shd w:fill="F7F7F7"/>
            <w:tcMar>
              <w:top w:w="55" w:type="dxa"/>
              <w:start w:w="70" w:type="dxa"/>
              <w:bottom w:w="55" w:type="dxa"/>
              <w:end w:w="70" w:type="dxa"/>
            </w:tcMar>
            <w:vAlign w:val="top"/>
          </w:tcPr>
          <w:p>
            <w:pPr>
              <w:spacing w:after="10" w:line="240" w:lineRule="auto"/>
            </w:pPr>
            <w:r>
              <w:rPr>
                <w:rFonts w:ascii="Arial" w:hAnsi="Arial"/>
                <w:sz w:val="13"/>
              </w:rPr>
              <w:t>Verbatim transcripts/questions on private affiliates and product allocation</w:t>
            </w:r>
          </w:p>
        </w:tc>
        <w:tc>
          <w:tcPr>
            <w:tcW w:type="dxa" w:w="4320"/>
            <w:shd w:fill="F7F7F7"/>
            <w:tcMar>
              <w:top w:w="55" w:type="dxa"/>
              <w:start w:w="70" w:type="dxa"/>
              <w:bottom w:w="55" w:type="dxa"/>
              <w:end w:w="70" w:type="dxa"/>
            </w:tcMar>
            <w:vAlign w:val="top"/>
          </w:tcPr>
          <w:p>
            <w:pPr>
              <w:spacing w:after="10" w:line="240" w:lineRule="auto"/>
            </w:pPr>
            <w:r>
              <w:rPr>
                <w:rFonts w:ascii="Arial" w:hAnsi="Arial"/>
                <w:sz w:val="13"/>
              </w:rPr>
              <w:t>Required to assess board responses and shareholder concern</w:t>
            </w:r>
          </w:p>
        </w:tc>
      </w:tr>
      <w:tr>
        <w:trPr>
          <w:cantSplit/>
        </w:trPr>
        <w:tc>
          <w:tcPr>
            <w:tcW w:type="dxa" w:w="2232"/>
            <w:tcMar>
              <w:top w:w="55" w:type="dxa"/>
              <w:start w:w="70" w:type="dxa"/>
              <w:bottom w:w="55" w:type="dxa"/>
              <w:end w:w="70" w:type="dxa"/>
            </w:tcMar>
            <w:vAlign w:val="top"/>
          </w:tcPr>
          <w:p>
            <w:pPr>
              <w:spacing w:after="10" w:line="240" w:lineRule="auto"/>
            </w:pPr>
            <w:r>
              <w:rPr>
                <w:rFonts w:ascii="Arial" w:hAnsi="Arial"/>
                <w:b/>
                <w:sz w:val="13"/>
              </w:rPr>
              <w:t>Distribution economics</w:t>
            </w:r>
          </w:p>
        </w:tc>
        <w:tc>
          <w:tcPr>
            <w:tcW w:type="dxa" w:w="4032"/>
            <w:tcMar>
              <w:top w:w="55" w:type="dxa"/>
              <w:start w:w="70" w:type="dxa"/>
              <w:bottom w:w="55" w:type="dxa"/>
              <w:end w:w="70" w:type="dxa"/>
            </w:tcMar>
            <w:vAlign w:val="top"/>
          </w:tcPr>
          <w:p>
            <w:pPr>
              <w:spacing w:after="10" w:line="240" w:lineRule="auto"/>
            </w:pPr>
            <w:r>
              <w:rPr>
                <w:rFonts w:ascii="Arial" w:hAnsi="Arial"/>
                <w:sz w:val="13"/>
              </w:rPr>
              <w:t>Cipla, GoApptiv and Mylan revenue recognition/fee mechanics</w:t>
            </w:r>
          </w:p>
        </w:tc>
        <w:tc>
          <w:tcPr>
            <w:tcW w:type="dxa" w:w="4320"/>
            <w:tcMar>
              <w:top w:w="55" w:type="dxa"/>
              <w:start w:w="70" w:type="dxa"/>
              <w:bottom w:w="55" w:type="dxa"/>
              <w:end w:w="70" w:type="dxa"/>
            </w:tcMar>
            <w:vAlign w:val="top"/>
          </w:tcPr>
          <w:p>
            <w:pPr>
              <w:spacing w:after="10" w:line="240" w:lineRule="auto"/>
            </w:pPr>
            <w:r>
              <w:rPr>
                <w:rFonts w:ascii="Arial" w:hAnsi="Arial"/>
                <w:sz w:val="13"/>
              </w:rPr>
              <w:t>Required to model mature-brand margin</w:t>
            </w:r>
          </w:p>
        </w:tc>
      </w:tr>
      <w:tr>
        <w:trPr>
          <w:cantSplit/>
        </w:trPr>
        <w:tc>
          <w:tcPr>
            <w:tcW w:type="dxa" w:w="2232"/>
            <w:shd w:fill="F7F7F7"/>
            <w:tcMar>
              <w:top w:w="55" w:type="dxa"/>
              <w:start w:w="70" w:type="dxa"/>
              <w:bottom w:w="55" w:type="dxa"/>
              <w:end w:w="70" w:type="dxa"/>
            </w:tcMar>
            <w:vAlign w:val="top"/>
          </w:tcPr>
          <w:p>
            <w:pPr>
              <w:spacing w:after="10" w:line="240" w:lineRule="auto"/>
            </w:pPr>
            <w:r>
              <w:rPr>
                <w:rFonts w:ascii="Arial" w:hAnsi="Arial"/>
                <w:b/>
                <w:sz w:val="13"/>
              </w:rPr>
              <w:t>Management targets</w:t>
            </w:r>
          </w:p>
        </w:tc>
        <w:tc>
          <w:tcPr>
            <w:tcW w:type="dxa" w:w="4032"/>
            <w:shd w:fill="F7F7F7"/>
            <w:tcMar>
              <w:top w:w="55" w:type="dxa"/>
              <w:start w:w="70" w:type="dxa"/>
              <w:bottom w:w="55" w:type="dxa"/>
              <w:end w:w="70" w:type="dxa"/>
            </w:tcMar>
            <w:vAlign w:val="top"/>
          </w:tcPr>
          <w:p>
            <w:pPr>
              <w:spacing w:after="10" w:line="240" w:lineRule="auto"/>
            </w:pPr>
            <w:r>
              <w:rPr>
                <w:rFonts w:ascii="Arial" w:hAnsi="Arial"/>
                <w:sz w:val="13"/>
              </w:rPr>
              <w:t>No formal medium-term revenue, margin or launch targets found</w:t>
            </w:r>
          </w:p>
        </w:tc>
        <w:tc>
          <w:tcPr>
            <w:tcW w:type="dxa" w:w="4320"/>
            <w:shd w:fill="F7F7F7"/>
            <w:tcMar>
              <w:top w:w="55" w:type="dxa"/>
              <w:start w:w="70" w:type="dxa"/>
              <w:bottom w:w="55" w:type="dxa"/>
              <w:end w:w="70" w:type="dxa"/>
            </w:tcMar>
            <w:vAlign w:val="top"/>
          </w:tcPr>
          <w:p>
            <w:pPr>
              <w:spacing w:after="10" w:line="240" w:lineRule="auto"/>
            </w:pPr>
            <w:r>
              <w:rPr>
                <w:rFonts w:ascii="Arial" w:hAnsi="Arial"/>
                <w:sz w:val="13"/>
              </w:rPr>
              <w:t>Required to score guidance credibility</w:t>
            </w:r>
          </w:p>
        </w:tc>
      </w:tr>
    </w:tbl>
    <w:sectPr w:rsidR="00FC693F" w:rsidRPr="0006063C" w:rsidSect="00034616">
      <w:headerReference w:type="default" r:id="rId9"/>
      <w:footerReference w:type="default" r:id="rId10"/>
      <w:pgSz w:w="11952" w:h="16848"/>
      <w:pgMar w:top="893"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4032"/>
      <w:gridCol w:w="3168"/>
      <w:gridCol w:w="2880"/>
    </w:tblGrid>
    <w:tr>
      <w:tc>
        <w:tcPr>
          <w:tcW w:type="dxa" w:w="3360"/>
          <w:vAlign w:val="center"/>
        </w:tcPr>
        <w:p>
          <w:r>
            <w:rPr>
              <w:color w:val="59636E"/>
              <w:sz w:val="12"/>
            </w:rPr>
            <w:t>Independent research primer</w:t>
          </w:r>
        </w:p>
      </w:tc>
      <w:tc>
        <w:tcPr>
          <w:tcW w:type="dxa" w:w="3360"/>
          <w:vAlign w:val="center"/>
        </w:tcPr>
        <w:p>
          <w:r>
            <w:rPr>
              <w:color w:val="59636E"/>
              <w:sz w:val="12"/>
            </w:rPr>
            <w:t>Information cut-off: 17 Sep 2026</w:t>
          </w:r>
        </w:p>
      </w:tc>
      <w:tc>
        <w:tcPr>
          <w:tcW w:type="dxa" w:w="3360"/>
          <w:vAlign w:val="center"/>
        </w:tcPr>
        <w:p>
          <w:pPr>
            <w:jc w:val="right"/>
          </w:pPr>
          <w:r>
            <w:rPr>
              <w:color w:val="59636E"/>
              <w:sz w:val="12"/>
            </w:rPr>
            <w:t xml:space="preserve">Page </w:t>
          </w:r>
          <w:r>
            <w:rPr>
              <w:color w:val="59636E"/>
              <w:sz w:val="12"/>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9636E"/>
        <w:sz w:val="13"/>
      </w:rPr>
      <w:t>BERNSTEIN-STYLE INITIATION PRIMER  |  PFIZER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2" w:lineRule="auto"/>
    </w:pPr>
    <w:rPr>
      <w:rFonts w:ascii="Arial" w:hAnsi="Arial"/>
      <w:color w:val="212529"/>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9B1C31"/>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212529"/>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9B1C3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9B1C3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hibitTitle">
    <w:name w:val="Exhibit Title"/>
    <w:pPr>
      <w:keepNext/>
      <w:spacing w:before="140" w:after="60"/>
    </w:pPr>
    <w:rPr>
      <w:rFonts w:ascii="Arial" w:hAnsi="Arial"/>
      <w:b/>
      <w:color w:val="9B1C31"/>
      <w:sz w:val="20"/>
    </w:rPr>
  </w:style>
  <w:style w:type="paragraph" w:customStyle="1" w:styleId="Source">
    <w:name w:val="Source"/>
    <w:pPr>
      <w:spacing w:before="20" w:after="40"/>
    </w:pPr>
    <w:rPr>
      <w:rFonts w:ascii="Arial" w:hAnsi="Arial"/>
      <w:i/>
      <w:color w:val="59636E"/>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pfizerltd.co.in/files/Pfizer_Limited_-_Annual_Report_FY_2026.pdf" TargetMode="External"/><Relationship Id="rId13" Type="http://schemas.openxmlformats.org/officeDocument/2006/relationships/hyperlink" Target="https://www.pfizerltd.co.in/files/Stock_Exchange_Intimation_-Outcome_of_the_Board_Meeting_28072026_final.pdf" TargetMode="External"/><Relationship Id="rId14" Type="http://schemas.openxmlformats.org/officeDocument/2006/relationships/hyperlink" Target="https://www.pfizerltd.co.in/financial-information" TargetMode="External"/><Relationship Id="rId15" Type="http://schemas.openxmlformats.org/officeDocument/2006/relationships/hyperlink" Target="https://www.pfizerltd.co.in/files/Pfizer_Ltd_Price_List_-_July_2026.pdf" TargetMode="External"/><Relationship Id="rId16" Type="http://schemas.openxmlformats.org/officeDocument/2006/relationships/hyperlink" Target="https://www.pfizerltd.co.in/files/Stock_Exchange_Intimation_-_Outcome_of_the_Board_Meeting_07092026.pdf" TargetMode="External"/><Relationship Id="rId17" Type="http://schemas.openxmlformats.org/officeDocument/2006/relationships/hyperlink" Target="https://www.pfizerltd.co.in/files/Pfizer%27s_reply_to_rumour_verification.pdf" TargetMode="External"/><Relationship Id="rId18" Type="http://schemas.openxmlformats.org/officeDocument/2006/relationships/hyperlink" Target="https://www.pfizerltd.co.in/files/Stock_Exchange_Intimation_-_Resignation_of_Amit_Agarwal.pdf" TargetMode="External"/><Relationship Id="rId19" Type="http://schemas.openxmlformats.org/officeDocument/2006/relationships/hyperlink" Target="https://www.pfizerltd.co.in/about-pfizer/our-manufacturing" TargetMode="External"/><Relationship Id="rId20" Type="http://schemas.openxmlformats.org/officeDocument/2006/relationships/hyperlink" Target="https://labeling.pfizer.com/ShowLabeling.aspx?id=14534" TargetMode="External"/><Relationship Id="rId21" Type="http://schemas.openxmlformats.org/officeDocument/2006/relationships/hyperlink" Target="https://labeling.pfizer.com/ShowLabeling.aspx?id=16266" TargetMode="External"/><Relationship Id="rId22" Type="http://schemas.openxmlformats.org/officeDocument/2006/relationships/hyperlink" Target="https://labeling.pfizer.com/ShowLabeling.aspx?id=16259" TargetMode="External"/><Relationship Id="rId23" Type="http://schemas.openxmlformats.org/officeDocument/2006/relationships/hyperlink" Target="https://labeling.pfizer.com/ShowLabeling.aspx?id=15037" TargetMode="External"/><Relationship Id="rId24" Type="http://schemas.openxmlformats.org/officeDocument/2006/relationships/hyperlink" Target="https://labeling.pfizer.com/ShowLabeling.aspx?id=15028" TargetMode="External"/><Relationship Id="rId25" Type="http://schemas.openxmlformats.org/officeDocument/2006/relationships/hyperlink" Target="https://labeling.pfizer.com/ShowLabeling.aspx?id=15012" TargetMode="External"/><Relationship Id="rId26" Type="http://schemas.openxmlformats.org/officeDocument/2006/relationships/hyperlink" Target="https://pharma-dept.gov.in/speechesinterviews/review-application-ms-pfizer-products-india-private-limited-against-price" TargetMode="External"/><Relationship Id="rId27" Type="http://schemas.openxmlformats.org/officeDocument/2006/relationships/hyperlink" Target="https://www.pfizer.co.in/connect-with-us" TargetMode="External"/><Relationship Id="rId28" Type="http://schemas.openxmlformats.org/officeDocument/2006/relationships/hyperlink" Target="https://clinicaltrials.gov/search?locStr=India&amp;country=India&amp;spons=Pfizer" TargetMode="External"/><Relationship Id="rId29" Type="http://schemas.openxmlformats.org/officeDocument/2006/relationships/hyperlink" Target="https://investors.pfizer.com/Investors/Financials/Annual-Reports/default.aspx" TargetMode="External"/><Relationship Id="rId30" Type="http://schemas.openxmlformats.org/officeDocument/2006/relationships/hyperlink" Target="https://indiankanoon.org/doc/112161007/" TargetMode="External"/><Relationship Id="rId31" Type="http://schemas.openxmlformats.org/officeDocument/2006/relationships/hyperlink" Target="https://nppa.gov.in/" TargetMode="External"/><Relationship Id="rId32" Type="http://schemas.openxmlformats.org/officeDocument/2006/relationships/hyperlink" Target="https://www.icicidirect.com/stocks/pfizer-ltd-share-price" TargetMode="External"/><Relationship Id="rId33" Type="http://schemas.openxmlformats.org/officeDocument/2006/relationships/hyperlink" Target="https://www.screener.in/company/PFIZER/" TargetMode="External"/><Relationship Id="rId34" Type="http://schemas.openxmlformats.org/officeDocument/2006/relationships/hyperlink" Target="https://www.pfizerltd.co.in/files/Pfizer-Limited-Annual-Report-FY-2024-25.pdf" TargetMode="External"/><Relationship Id="rId35" Type="http://schemas.openxmlformats.org/officeDocument/2006/relationships/hyperlink" Target="https://www.pfizerltd.co.in/files/Pfizer-Limited_Annual-Report-2023-24.pdf" TargetMode="External"/><Relationship Id="rId36" Type="http://schemas.openxmlformats.org/officeDocument/2006/relationships/hyperlink" Target="https://www.pfizerltd.co.in/files/Pfizer-Limited_Annual-Report-2022-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Pfizer Limited: What minority shareholders actually own</dc:title>
  <dc:subject>India healthcare initiation primer</dc:subject>
  <dc:creator>OpenAI</dc:creator>
  <cp:keywords/>
  <dc:description>Information cut-off 17 September 2026</dc:description>
  <cp:lastModifiedBy/>
  <cp:revision>1</cp:revision>
  <dcterms:created xsi:type="dcterms:W3CDTF">2013-12-23T23:15:00Z</dcterms:created>
  <dcterms:modified xsi:type="dcterms:W3CDTF">2013-12-23T23:15:00Z</dcterms:modified>
  <cp:category/>
</cp:coreProperties>
</file>