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nalystTitle"/>
        <w:keepNext/>
      </w:pPr>
      <w:r>
        <w:t>Why Taro cash cannot fund the Organon acquisition on its own</w:t>
      </w:r>
    </w:p>
    <w:p>
      <w:pPr>
        <w:spacing w:after="100" w:line="252" w:lineRule="auto"/>
      </w:pPr>
      <w:r>
        <w:rPr>
          <w:b/>
        </w:rPr>
        <w:t xml:space="preserve">Bottom line. </w:t>
      </w:r>
      <w:r>
        <w:t>Taro liquidity can support the Organon funding package, but it is too small and not fully fungible. The gross Taro-linked liquid-asset pool is about US$673m, of which US$556m sits in Sun Pharma Canada. This is only 5.7% of Organon's US$11.75bn enterprise value and cannot be the primary source of funding.</w:t>
      </w:r>
    </w:p>
    <w:p>
      <w:pPr>
        <w:pStyle w:val="ListBullet"/>
        <w:spacing w:after="60" w:line="245" w:lineRule="auto"/>
        <w:ind w:left="259" w:hanging="173"/>
      </w:pPr>
      <w:r>
        <w:rPr>
          <w:b/>
        </w:rPr>
        <w:t xml:space="preserve">The funding agreement already requires a separate parent contribution. </w:t>
      </w:r>
      <w:r>
        <w:t>Sun Pharma India is required to provide US$1.0bn, while Sun expects an overall cash contribution of US$2.0-2.5bn. Even if the full Taro pool were used, it would cover only about 27% of the upper end of the cash requirement.</w:t>
      </w:r>
    </w:p>
    <w:p>
      <w:pPr>
        <w:pStyle w:val="ListBullet"/>
        <w:spacing w:after="60" w:line="245" w:lineRule="auto"/>
        <w:ind w:left="259" w:hanging="173"/>
      </w:pPr>
      <w:r>
        <w:rPr>
          <w:b/>
        </w:rPr>
        <w:t xml:space="preserve">The headline cash balance is not fully deployable. </w:t>
      </w:r>
      <w:r>
        <w:t>Sun Pharma Canada is an operating company with approximately US$378m of sales, US$178m of receivables, US$115m of inventory and US$109m of current liabilities. It must retain liquidity for working capital, rebates, tax and ordinary solvency requirements.</w:t>
      </w:r>
    </w:p>
    <w:p>
      <w:pPr>
        <w:pStyle w:val="ListBullet"/>
        <w:spacing w:after="60" w:line="245" w:lineRule="auto"/>
        <w:ind w:left="259" w:hanging="173"/>
      </w:pPr>
      <w:r>
        <w:rPr>
          <w:b/>
        </w:rPr>
        <w:t xml:space="preserve">Moving cash across entities creates leakage and legal constraints. </w:t>
      </w:r>
      <w:r>
        <w:t>A dividend from Canada to Israel requires board and solvency approvals and may attract roughly 5% withholding tax under the treaty. Intercompany loans or capital contributions are also subject to transfer-pricing, financing and local corporate-law rules.</w:t>
      </w:r>
    </w:p>
    <w:p>
      <w:pPr>
        <w:pStyle w:val="ListBullet"/>
        <w:spacing w:after="60" w:line="245" w:lineRule="auto"/>
        <w:ind w:left="259" w:hanging="173"/>
      </w:pPr>
      <w:r>
        <w:rPr>
          <w:b/>
        </w:rPr>
        <w:t xml:space="preserve">The realistic deployable amount is materially lower. </w:t>
      </w:r>
      <w:r>
        <w:t>After allowing for an operating reserve and tax friction, deployable Taro-linked liquidity is closer to US$540m. That is only 4.6% of Organon enterprise value and about 22-27% of Sun's planned cash contribution.</w:t>
      </w:r>
    </w:p>
    <w:p>
      <w:pPr>
        <w:spacing w:before="60" w:after="40" w:line="252" w:lineRule="auto"/>
      </w:pPr>
      <w:r>
        <w:rPr>
          <w:b/>
        </w:rPr>
        <w:t xml:space="preserve">Investor conclusion. </w:t>
      </w:r>
      <w:r>
        <w:t>Taro cash is best viewed as one component of the financing stack, not a standalone funding source. Sun will still need the committed India contribution and acquisition debt, while preserving sufficient liquidity within the operating Taro entities.</w:t>
      </w:r>
    </w:p>
    <w:p>
      <w:pPr>
        <w:spacing w:before="60" w:after="0"/>
      </w:pPr>
      <w:r>
        <w:rPr>
          <w:i/>
          <w:color w:val="646464"/>
          <w:sz w:val="16"/>
        </w:rPr>
        <w:t>Source: Company filings, Organon merger agreement and analyst calculations.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nalystTitle">
    <w:name w:val="Analyst Title"/>
    <w:pPr>
      <w:spacing w:after="100"/>
    </w:pPr>
    <w:rPr>
      <w:rFonts w:ascii="Arial" w:hAnsi="Arial" w:eastAsia="Arial"/>
      <w:b/>
      <w:color w:val="1F4E79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Why Taro cash cannot fund the Organon acquisition on its own</dc:title>
  <dc:subject>Sun Pharma / Organon funding summary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