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Sun Pharma Client Response</w:t>
      </w:r>
    </w:p>
    <w:p>
      <w:pPr>
        <w:spacing w:after="200" w:line="252" w:lineRule="auto"/>
      </w:pPr>
      <w:r>
        <w:rPr>
          <w:b/>
          <w:sz w:val="19"/>
        </w:rPr>
        <w:t>Subject  Leqselvi and Unloxcyt clinical profile launch trajectory and Ilumya PsA</w:t>
      </w:r>
    </w:p>
    <w:p>
      <w:pPr>
        <w:keepNext w:val="0"/>
        <w:spacing w:before="0" w:after="140" w:line="259" w:lineRule="auto"/>
      </w:pPr>
      <w:r>
        <w:rPr>
          <w:b w:val="0"/>
          <w:i w:val="0"/>
        </w:rPr>
        <w:t>Hi Gopal,</w:t>
      </w:r>
    </w:p>
    <w:p>
      <w:pPr>
        <w:keepNext w:val="0"/>
        <w:spacing w:before="0" w:after="140" w:line="259" w:lineRule="auto"/>
      </w:pPr>
      <w:r>
        <w:rPr>
          <w:b w:val="0"/>
          <w:i w:val="0"/>
        </w:rPr>
        <w:t>Please find our current view below. In summary, Leqselvi has an attractive early efficacy profile, although CYP2C9 testing creates prescription friction. Unloxcyt appears at least class-competitive with a potentially cleaner tolerability profile, but the comparison is cross-trial. Leqselvi should inflect ahead of Unloxcyt, while the PsA indication should extend Ilumya's growth runway rather than reset the franchise's growth curve.</w:t>
      </w:r>
    </w:p>
    <w:p>
      <w:pPr>
        <w:pStyle w:val="Heading1"/>
      </w:pPr>
      <w:r>
        <w:t>1  Efficacy and safety versus competition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70"/>
        <w:gridCol w:w="2570"/>
        <w:gridCol w:w="2570"/>
        <w:gridCol w:w="2570"/>
      </w:tblGrid>
      <w:tr>
        <w:trPr>
          <w:tblHeader w:val="true"/>
          <w:cantSplit/>
        </w:trPr>
        <w:tc>
          <w:tcPr>
            <w:tcW w:type="dxa" w:w="1224"/>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7"/>
              </w:rPr>
              <w:t>Product</w:t>
            </w:r>
          </w:p>
        </w:tc>
        <w:tc>
          <w:tcPr>
            <w:tcW w:type="dxa" w:w="2909"/>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7"/>
              </w:rPr>
              <w:t>Efficacy versus key peers</w:t>
            </w:r>
          </w:p>
        </w:tc>
        <w:tc>
          <w:tcPr>
            <w:tcW w:type="dxa" w:w="3110"/>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7"/>
              </w:rPr>
              <w:t>Safety and practical constraints</w:t>
            </w:r>
          </w:p>
        </w:tc>
        <w:tc>
          <w:tcPr>
            <w:tcW w:type="dxa" w:w="3038"/>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7"/>
              </w:rPr>
              <w:t>Commercial assessment</w:t>
            </w:r>
          </w:p>
        </w:tc>
      </w:tr>
      <w:tr>
        <w:trPr>
          <w:cantSplit/>
        </w:trPr>
        <w:tc>
          <w:tcPr>
            <w:tcW w:type="dxa" w:w="1224"/>
            <w:vAlign w:val="center"/>
            <w:tcMar>
              <w:top w:w="90" w:type="dxa"/>
              <w:start w:w="100" w:type="dxa"/>
              <w:bottom w:w="90" w:type="dxa"/>
              <w:end w:w="100" w:type="dxa"/>
            </w:tcMar>
          </w:tcPr>
          <w:p>
            <w:pPr>
              <w:spacing w:after="0" w:before="0" w:line="252" w:lineRule="auto"/>
              <w:jc w:val="center"/>
            </w:pPr>
            <w:r/>
            <w:r>
              <w:rPr>
                <w:rFonts w:ascii="Arial" w:hAnsi="Arial"/>
                <w:b/>
                <w:color w:val="000000"/>
                <w:sz w:val="17"/>
              </w:rPr>
              <w:t>Leqselvi</w:t>
            </w:r>
          </w:p>
        </w:tc>
        <w:tc>
          <w:tcPr>
            <w:tcW w:type="dxa" w:w="2909"/>
            <w:vAlign w:val="center"/>
            <w:tcMar>
              <w:top w:w="90" w:type="dxa"/>
              <w:start w:w="100" w:type="dxa"/>
              <w:bottom w:w="90" w:type="dxa"/>
              <w:end w:w="100" w:type="dxa"/>
            </w:tcMar>
          </w:tcPr>
          <w:p>
            <w:pPr>
              <w:spacing w:after="0" w:before="0" w:line="252" w:lineRule="auto"/>
              <w:jc w:val="left"/>
            </w:pPr>
            <w:r/>
            <w:r>
              <w:rPr>
                <w:rFonts w:ascii="Arial" w:hAnsi="Arial"/>
                <w:b w:val="0"/>
                <w:color w:val="000000"/>
                <w:sz w:val="17"/>
              </w:rPr>
              <w:t>SALT &lt;=20 at Week 24: 29-32% versus c.1% placebo. Litfulo: 23% at Week 24. Olumiant 4 mg: c.36-39% at Week 36.</w:t>
            </w:r>
          </w:p>
        </w:tc>
        <w:tc>
          <w:tcPr>
            <w:tcW w:type="dxa" w:w="3110"/>
            <w:vAlign w:val="center"/>
            <w:tcMar>
              <w:top w:w="90" w:type="dxa"/>
              <w:start w:w="100" w:type="dxa"/>
              <w:bottom w:w="90" w:type="dxa"/>
              <w:end w:w="100" w:type="dxa"/>
            </w:tcMar>
          </w:tcPr>
          <w:p>
            <w:pPr>
              <w:spacing w:after="0" w:before="0" w:line="252" w:lineRule="auto"/>
              <w:jc w:val="left"/>
            </w:pPr>
            <w:r/>
            <w:r>
              <w:rPr>
                <w:rFonts w:ascii="Arial" w:hAnsi="Arial"/>
                <w:b w:val="0"/>
                <w:color w:val="000000"/>
                <w:sz w:val="17"/>
              </w:rPr>
              <w:t>JAK class boxed warnings apply. Common adverse events include headache, acne and nasopharyngitis. CYP2C9 genotyping is required; poor metabolizers and patients using moderate or strong CYP2C9 inhibitors are contraindicated. Twice-daily dosing adds modest friction.</w:t>
            </w:r>
          </w:p>
        </w:tc>
        <w:tc>
          <w:tcPr>
            <w:tcW w:type="dxa" w:w="3038"/>
            <w:vAlign w:val="center"/>
            <w:tcMar>
              <w:top w:w="90" w:type="dxa"/>
              <w:start w:w="100" w:type="dxa"/>
              <w:bottom w:w="90" w:type="dxa"/>
              <w:end w:w="100" w:type="dxa"/>
            </w:tcMar>
          </w:tcPr>
          <w:p>
            <w:pPr>
              <w:spacing w:after="0" w:before="0" w:line="252" w:lineRule="auto"/>
              <w:jc w:val="left"/>
            </w:pPr>
            <w:r/>
            <w:r>
              <w:rPr>
                <w:rFonts w:ascii="Arial" w:hAnsi="Arial"/>
                <w:b w:val="0"/>
                <w:color w:val="000000"/>
                <w:sz w:val="17"/>
              </w:rPr>
              <w:t>The early efficacy profile looks better than Litfulo and competitive with Olumiant despite the earlier readout. Genotyping, payer access and twice-daily dosing should temper the initial uptake curve.</w:t>
            </w:r>
          </w:p>
        </w:tc>
      </w:tr>
      <w:tr>
        <w:trPr>
          <w:cantSplit/>
        </w:trPr>
        <w:tc>
          <w:tcPr>
            <w:tcW w:type="dxa" w:w="1224"/>
            <w:vAlign w:val="center"/>
            <w:tcMar>
              <w:top w:w="90" w:type="dxa"/>
              <w:start w:w="100" w:type="dxa"/>
              <w:bottom w:w="90" w:type="dxa"/>
              <w:end w:w="100" w:type="dxa"/>
            </w:tcMar>
            <w:shd w:fill="F2F6FA"/>
          </w:tcPr>
          <w:p>
            <w:pPr>
              <w:spacing w:after="0" w:before="0" w:line="252" w:lineRule="auto"/>
              <w:jc w:val="center"/>
            </w:pPr>
            <w:r/>
            <w:r>
              <w:rPr>
                <w:rFonts w:ascii="Arial" w:hAnsi="Arial"/>
                <w:b/>
                <w:color w:val="000000"/>
                <w:sz w:val="17"/>
              </w:rPr>
              <w:t>Unloxcyt</w:t>
            </w:r>
          </w:p>
        </w:tc>
        <w:tc>
          <w:tcPr>
            <w:tcW w:type="dxa" w:w="2909"/>
            <w:vAlign w:val="center"/>
            <w:tcMar>
              <w:top w:w="90" w:type="dxa"/>
              <w:start w:w="100" w:type="dxa"/>
              <w:bottom w:w="90" w:type="dxa"/>
              <w:end w:w="100" w:type="dxa"/>
            </w:tcMar>
            <w:shd w:fill="F2F6FA"/>
          </w:tcPr>
          <w:p>
            <w:pPr>
              <w:spacing w:after="0" w:before="0" w:line="252" w:lineRule="auto"/>
              <w:jc w:val="left"/>
            </w:pPr>
            <w:r/>
            <w:r>
              <w:rPr>
                <w:rFonts w:ascii="Arial" w:hAnsi="Arial"/>
                <w:b w:val="0"/>
                <w:color w:val="000000"/>
                <w:sz w:val="17"/>
              </w:rPr>
              <w:t>ORR: 50% in metastatic CSCC and 55% in locally advanced CSCC; complete response rates were 13% and 26%, respectively. Median duration of response was not reached. Libtayo ORR is c.47%; Keytruda is c.35% in recurrent or metastatic disease and c.52% in locally advanced disease.</w:t>
            </w:r>
          </w:p>
        </w:tc>
        <w:tc>
          <w:tcPr>
            <w:tcW w:type="dxa" w:w="3110"/>
            <w:vAlign w:val="center"/>
            <w:tcMar>
              <w:top w:w="90" w:type="dxa"/>
              <w:start w:w="100" w:type="dxa"/>
              <w:bottom w:w="90" w:type="dxa"/>
              <w:end w:w="100" w:type="dxa"/>
            </w:tcMar>
            <w:shd w:fill="F2F6FA"/>
          </w:tcPr>
          <w:p>
            <w:pPr>
              <w:spacing w:after="0" w:before="0" w:line="252" w:lineRule="auto"/>
              <w:jc w:val="left"/>
            </w:pPr>
            <w:r/>
            <w:r>
              <w:rPr>
                <w:rFonts w:ascii="Arial" w:hAnsi="Arial"/>
                <w:b w:val="0"/>
                <w:color w:val="000000"/>
                <w:sz w:val="17"/>
              </w:rPr>
              <w:t>Immune-mediated adverse reactions were primarily Grade 1-2; Grade 3 reactions were 0.9%, with no Grade 4 or higher reactions reported in the pivotal dataset. Standard checkpoint-inhibitor warnings remain.</w:t>
            </w:r>
          </w:p>
        </w:tc>
        <w:tc>
          <w:tcPr>
            <w:tcW w:type="dxa" w:w="3038"/>
            <w:vAlign w:val="center"/>
            <w:tcMar>
              <w:top w:w="90" w:type="dxa"/>
              <w:start w:w="100" w:type="dxa"/>
              <w:bottom w:w="90" w:type="dxa"/>
              <w:end w:w="100" w:type="dxa"/>
            </w:tcMar>
            <w:shd w:fill="F2F6FA"/>
          </w:tcPr>
          <w:p>
            <w:pPr>
              <w:spacing w:after="0" w:before="0" w:line="252" w:lineRule="auto"/>
              <w:jc w:val="left"/>
            </w:pPr>
            <w:r/>
            <w:r>
              <w:rPr>
                <w:rFonts w:ascii="Arial" w:hAnsi="Arial"/>
                <w:b w:val="0"/>
                <w:color w:val="000000"/>
                <w:sz w:val="17"/>
              </w:rPr>
              <w:t>Efficacy appears class-competitive and tolerability could support use in older, comorbid patients. Libtayo's established position and the absence of head-to-head data limit near-term differentiation.</w:t>
            </w:r>
          </w:p>
        </w:tc>
      </w:tr>
    </w:tbl>
    <w:p>
      <w:pPr>
        <w:pStyle w:val="SourceNote"/>
      </w:pPr>
      <w:r>
        <w:t>Note: Cross-trial comparisons are directional because patient mix, endpoints and assessment timing differ. Sources: US prescribing information and company disclosures.</w:t>
      </w:r>
    </w:p>
    <w:p>
      <w:pPr>
        <w:keepNext w:val="0"/>
        <w:spacing w:before="20" w:after="100" w:line="259" w:lineRule="auto"/>
      </w:pPr>
      <w:r>
        <w:rPr>
          <w:b/>
          <w:i w:val="0"/>
        </w:rPr>
        <w:t xml:space="preserve">Bottom line  </w:t>
      </w:r>
      <w:r>
        <w:rPr>
          <w:b w:val="0"/>
          <w:i w:val="0"/>
        </w:rPr>
        <w:t>Leqselvi's efficacy is commercially relevant, but CYP2C9 testing is the main adoption barrier. Unloxcyt offers a credible efficacy and safety package, although its differentiation is less pronounced and must overcome entrenched checkpoint-inhibitor usage.</w:t>
      </w:r>
    </w:p>
    <w:p>
      <w:pPr>
        <w:pStyle w:val="Heading1"/>
      </w:pPr>
      <w:r>
        <w:t>2  Current launch tracking</w:t>
      </w:r>
    </w:p>
    <w:p>
      <w:pPr>
        <w:keepNext w:val="0"/>
        <w:spacing w:before="0" w:after="100" w:line="259" w:lineRule="auto"/>
      </w:pPr>
      <w:r>
        <w:rPr>
          <w:b w:val="0"/>
          <w:i w:val="0"/>
        </w:rPr>
        <w:t>We have attached the Leqselvi IQVIA launch data separately. We would focus on sequential new prescriptions, conversion into refills and share within JAK-treated alopecia areata rather than total prescriptions alone. Unloxcyt is hospital-administered and distributed through specialty channels, so retail prescription datasets will understate demand. Account activations, formulary wins, patient starts and reported net sales are better indicators.</w:t>
      </w:r>
    </w:p>
    <w:p>
      <w:r>
        <w:br w:type="page"/>
      </w:r>
    </w:p>
    <w:p>
      <w:pPr>
        <w:pStyle w:val="Heading1"/>
      </w:pPr>
      <w:r>
        <w:t>3  Inflection and revenue trajectory</w:t>
      </w:r>
    </w:p>
    <w:p>
      <w:pPr>
        <w:keepNext/>
        <w:spacing w:before="0" w:after="100" w:line="259" w:lineRule="auto"/>
      </w:pPr>
      <w:r>
        <w:rPr>
          <w:b w:val="0"/>
          <w:i w:val="0"/>
        </w:rPr>
        <w:t>Our base case is that Leqselvi inflects during H2 FY27 as access and repeat prescriptions build. Unloxcyt should have a slower curve, with a clearer inflection in FY28 after hospital formularies and reimbursement pathways are established.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56"/>
        <w:gridCol w:w="2056"/>
        <w:gridCol w:w="2056"/>
        <w:gridCol w:w="2056"/>
        <w:gridCol w:w="2056"/>
      </w:tblGrid>
      <w:tr>
        <w:trPr>
          <w:tblHeader w:val="true"/>
          <w:cantSplit/>
        </w:trPr>
        <w:tc>
          <w:tcPr>
            <w:tcW w:type="dxa" w:w="3096"/>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8"/>
              </w:rPr>
              <w:t>Product sales in US$ m</w:t>
            </w:r>
          </w:p>
        </w:tc>
        <w:tc>
          <w:tcPr>
            <w:tcW w:type="dxa" w:w="1469"/>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8"/>
              </w:rPr>
              <w:t>FY27E</w:t>
            </w:r>
          </w:p>
        </w:tc>
        <w:tc>
          <w:tcPr>
            <w:tcW w:type="dxa" w:w="1469"/>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8"/>
              </w:rPr>
              <w:t>FY28E</w:t>
            </w:r>
          </w:p>
        </w:tc>
        <w:tc>
          <w:tcPr>
            <w:tcW w:type="dxa" w:w="1469"/>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8"/>
              </w:rPr>
              <w:t>FY29E</w:t>
            </w:r>
          </w:p>
        </w:tc>
        <w:tc>
          <w:tcPr>
            <w:tcW w:type="dxa" w:w="2376"/>
            <w:vAlign w:val="center"/>
            <w:tcMar>
              <w:top w:w="90" w:type="dxa"/>
              <w:start w:w="100" w:type="dxa"/>
              <w:bottom w:w="90" w:type="dxa"/>
              <w:end w:w="100" w:type="dxa"/>
            </w:tcMar>
            <w:shd w:fill="17365D"/>
          </w:tcPr>
          <w:p>
            <w:pPr>
              <w:spacing w:after="0" w:before="0" w:line="252" w:lineRule="auto"/>
              <w:jc w:val="center"/>
            </w:pPr>
            <w:r/>
            <w:r>
              <w:rPr>
                <w:rFonts w:ascii="Arial" w:hAnsi="Arial"/>
                <w:b/>
                <w:color w:val="FFFFFF"/>
                <w:sz w:val="18"/>
              </w:rPr>
              <w:t>Expected inflection</w:t>
            </w:r>
          </w:p>
        </w:tc>
      </w:tr>
      <w:tr>
        <w:trPr>
          <w:cantSplit/>
        </w:trPr>
        <w:tc>
          <w:tcPr>
            <w:tcW w:type="dxa" w:w="3096"/>
            <w:vAlign w:val="center"/>
            <w:tcMar>
              <w:top w:w="90" w:type="dxa"/>
              <w:start w:w="100" w:type="dxa"/>
              <w:bottom w:w="90" w:type="dxa"/>
              <w:end w:w="100" w:type="dxa"/>
            </w:tcMar>
          </w:tcPr>
          <w:p>
            <w:pPr>
              <w:spacing w:after="0" w:before="0" w:line="252" w:lineRule="auto"/>
              <w:jc w:val="left"/>
            </w:pPr>
            <w:r/>
            <w:r>
              <w:rPr>
                <w:rFonts w:ascii="Arial" w:hAnsi="Arial"/>
                <w:b/>
                <w:color w:val="000000"/>
                <w:sz w:val="18"/>
              </w:rPr>
              <w:t>Leqselvi</w:t>
            </w:r>
          </w:p>
        </w:tc>
        <w:tc>
          <w:tcPr>
            <w:tcW w:type="dxa" w:w="1469"/>
            <w:vAlign w:val="center"/>
            <w:tcMar>
              <w:top w:w="90" w:type="dxa"/>
              <w:start w:w="100" w:type="dxa"/>
              <w:bottom w:w="90" w:type="dxa"/>
              <w:end w:w="100" w:type="dxa"/>
            </w:tcMar>
          </w:tcPr>
          <w:p>
            <w:pPr>
              <w:spacing w:after="0" w:before="0" w:line="252" w:lineRule="auto"/>
              <w:jc w:val="center"/>
            </w:pPr>
            <w:r/>
            <w:r>
              <w:rPr>
                <w:rFonts w:ascii="Arial" w:hAnsi="Arial"/>
                <w:b w:val="0"/>
                <w:color w:val="000000"/>
                <w:sz w:val="18"/>
              </w:rPr>
              <w:t>100-150</w:t>
            </w:r>
          </w:p>
        </w:tc>
        <w:tc>
          <w:tcPr>
            <w:tcW w:type="dxa" w:w="1469"/>
            <w:vAlign w:val="center"/>
            <w:tcMar>
              <w:top w:w="90" w:type="dxa"/>
              <w:start w:w="100" w:type="dxa"/>
              <w:bottom w:w="90" w:type="dxa"/>
              <w:end w:w="100" w:type="dxa"/>
            </w:tcMar>
          </w:tcPr>
          <w:p>
            <w:pPr>
              <w:spacing w:after="0" w:before="0" w:line="252" w:lineRule="auto"/>
              <w:jc w:val="center"/>
            </w:pPr>
            <w:r/>
            <w:r>
              <w:rPr>
                <w:rFonts w:ascii="Arial" w:hAnsi="Arial"/>
                <w:b w:val="0"/>
                <w:color w:val="000000"/>
                <w:sz w:val="18"/>
              </w:rPr>
              <w:t>200-300</w:t>
            </w:r>
          </w:p>
        </w:tc>
        <w:tc>
          <w:tcPr>
            <w:tcW w:type="dxa" w:w="1469"/>
            <w:vAlign w:val="center"/>
            <w:tcMar>
              <w:top w:w="90" w:type="dxa"/>
              <w:start w:w="100" w:type="dxa"/>
              <w:bottom w:w="90" w:type="dxa"/>
              <w:end w:w="100" w:type="dxa"/>
            </w:tcMar>
          </w:tcPr>
          <w:p>
            <w:pPr>
              <w:spacing w:after="0" w:before="0" w:line="252" w:lineRule="auto"/>
              <w:jc w:val="center"/>
            </w:pPr>
            <w:r/>
            <w:r>
              <w:rPr>
                <w:rFonts w:ascii="Arial" w:hAnsi="Arial"/>
                <w:b w:val="0"/>
                <w:color w:val="000000"/>
                <w:sz w:val="18"/>
              </w:rPr>
              <w:t>325-450</w:t>
            </w:r>
          </w:p>
        </w:tc>
        <w:tc>
          <w:tcPr>
            <w:tcW w:type="dxa" w:w="2376"/>
            <w:vAlign w:val="center"/>
            <w:tcMar>
              <w:top w:w="90" w:type="dxa"/>
              <w:start w:w="100" w:type="dxa"/>
              <w:bottom w:w="90" w:type="dxa"/>
              <w:end w:w="100" w:type="dxa"/>
            </w:tcMar>
          </w:tcPr>
          <w:p>
            <w:pPr>
              <w:spacing w:after="0" w:before="0" w:line="252" w:lineRule="auto"/>
              <w:jc w:val="center"/>
            </w:pPr>
            <w:r/>
            <w:r>
              <w:rPr>
                <w:rFonts w:ascii="Arial" w:hAnsi="Arial"/>
                <w:b w:val="0"/>
                <w:color w:val="000000"/>
                <w:sz w:val="18"/>
              </w:rPr>
              <w:t>H2 FY27</w:t>
            </w:r>
          </w:p>
        </w:tc>
      </w:tr>
      <w:tr>
        <w:trPr>
          <w:cantSplit/>
        </w:trPr>
        <w:tc>
          <w:tcPr>
            <w:tcW w:type="dxa" w:w="3096"/>
            <w:vAlign w:val="center"/>
            <w:tcMar>
              <w:top w:w="90" w:type="dxa"/>
              <w:start w:w="100" w:type="dxa"/>
              <w:bottom w:w="90" w:type="dxa"/>
              <w:end w:w="100" w:type="dxa"/>
            </w:tcMar>
            <w:shd w:fill="F2F6FA"/>
          </w:tcPr>
          <w:p>
            <w:pPr>
              <w:spacing w:after="0" w:before="0" w:line="252" w:lineRule="auto"/>
              <w:jc w:val="left"/>
            </w:pPr>
            <w:r/>
            <w:r>
              <w:rPr>
                <w:rFonts w:ascii="Arial" w:hAnsi="Arial"/>
                <w:b/>
                <w:color w:val="000000"/>
                <w:sz w:val="18"/>
              </w:rPr>
              <w:t>Unloxcyt</w:t>
            </w:r>
          </w:p>
        </w:tc>
        <w:tc>
          <w:tcPr>
            <w:tcW w:type="dxa" w:w="1469"/>
            <w:vAlign w:val="center"/>
            <w:tcMar>
              <w:top w:w="90" w:type="dxa"/>
              <w:start w:w="100" w:type="dxa"/>
              <w:bottom w:w="90" w:type="dxa"/>
              <w:end w:w="100" w:type="dxa"/>
            </w:tcMar>
            <w:shd w:fill="F2F6FA"/>
          </w:tcPr>
          <w:p>
            <w:pPr>
              <w:spacing w:after="0" w:before="0" w:line="252" w:lineRule="auto"/>
              <w:jc w:val="center"/>
            </w:pPr>
            <w:r/>
            <w:r>
              <w:rPr>
                <w:rFonts w:ascii="Arial" w:hAnsi="Arial"/>
                <w:b w:val="0"/>
                <w:color w:val="000000"/>
                <w:sz w:val="18"/>
              </w:rPr>
              <w:t>15-30</w:t>
            </w:r>
          </w:p>
        </w:tc>
        <w:tc>
          <w:tcPr>
            <w:tcW w:type="dxa" w:w="1469"/>
            <w:vAlign w:val="center"/>
            <w:tcMar>
              <w:top w:w="90" w:type="dxa"/>
              <w:start w:w="100" w:type="dxa"/>
              <w:bottom w:w="90" w:type="dxa"/>
              <w:end w:w="100" w:type="dxa"/>
            </w:tcMar>
            <w:shd w:fill="F2F6FA"/>
          </w:tcPr>
          <w:p>
            <w:pPr>
              <w:spacing w:after="0" w:before="0" w:line="252" w:lineRule="auto"/>
              <w:jc w:val="center"/>
            </w:pPr>
            <w:r/>
            <w:r>
              <w:rPr>
                <w:rFonts w:ascii="Arial" w:hAnsi="Arial"/>
                <w:b w:val="0"/>
                <w:color w:val="000000"/>
                <w:sz w:val="18"/>
              </w:rPr>
              <w:t>40-70</w:t>
            </w:r>
          </w:p>
        </w:tc>
        <w:tc>
          <w:tcPr>
            <w:tcW w:type="dxa" w:w="1469"/>
            <w:vAlign w:val="center"/>
            <w:tcMar>
              <w:top w:w="90" w:type="dxa"/>
              <w:start w:w="100" w:type="dxa"/>
              <w:bottom w:w="90" w:type="dxa"/>
              <w:end w:w="100" w:type="dxa"/>
            </w:tcMar>
            <w:shd w:fill="F2F6FA"/>
          </w:tcPr>
          <w:p>
            <w:pPr>
              <w:spacing w:after="0" w:before="0" w:line="252" w:lineRule="auto"/>
              <w:jc w:val="center"/>
            </w:pPr>
            <w:r/>
            <w:r>
              <w:rPr>
                <w:rFonts w:ascii="Arial" w:hAnsi="Arial"/>
                <w:b w:val="0"/>
                <w:color w:val="000000"/>
                <w:sz w:val="18"/>
              </w:rPr>
              <w:t>75-110</w:t>
            </w:r>
          </w:p>
        </w:tc>
        <w:tc>
          <w:tcPr>
            <w:tcW w:type="dxa" w:w="2376"/>
            <w:vAlign w:val="center"/>
            <w:tcMar>
              <w:top w:w="90" w:type="dxa"/>
              <w:start w:w="100" w:type="dxa"/>
              <w:bottom w:w="90" w:type="dxa"/>
              <w:end w:w="100" w:type="dxa"/>
            </w:tcMar>
            <w:shd w:fill="F2F6FA"/>
          </w:tcPr>
          <w:p>
            <w:pPr>
              <w:spacing w:after="0" w:before="0" w:line="252" w:lineRule="auto"/>
              <w:jc w:val="center"/>
            </w:pPr>
            <w:r/>
            <w:r>
              <w:rPr>
                <w:rFonts w:ascii="Arial" w:hAnsi="Arial"/>
                <w:b w:val="0"/>
                <w:color w:val="000000"/>
                <w:sz w:val="18"/>
              </w:rPr>
              <w:t>FY28</w:t>
            </w:r>
          </w:p>
        </w:tc>
      </w:tr>
    </w:tbl>
    <w:p>
      <w:pPr>
        <w:pStyle w:val="SourceNote"/>
      </w:pPr>
      <w:r>
        <w:t>Note: Bernstein estimates, not company guidance. Fiscal years end in March. Estimates are primarily US product sales and should be recalibrated against the latest IQVIA data.</w:t>
      </w:r>
    </w:p>
    <w:p>
      <w:pPr>
        <w:keepNext w:val="0"/>
        <w:spacing w:before="0" w:after="80" w:line="259" w:lineRule="auto"/>
      </w:pPr>
      <w:r>
        <w:rPr>
          <w:b/>
          <w:i w:val="0"/>
        </w:rPr>
        <w:t xml:space="preserve">Leqselvi  </w:t>
      </w:r>
      <w:r>
        <w:rPr>
          <w:b w:val="0"/>
          <w:i w:val="0"/>
        </w:rPr>
        <w:t>The market has visible unmet demand and the product has a credible efficacy proposition. Payer coverage, genetic testing and repeat persistence determine the slope. We expect the launch to become visibly nonlinear in H2 FY27 and Leqselvi to become the larger of the two products.</w:t>
      </w:r>
    </w:p>
    <w:p>
      <w:pPr>
        <w:keepNext w:val="0"/>
        <w:spacing w:before="0" w:after="100" w:line="259" w:lineRule="auto"/>
      </w:pPr>
      <w:r>
        <w:rPr>
          <w:b/>
          <w:i w:val="0"/>
        </w:rPr>
        <w:t xml:space="preserve">Unloxcyt  </w:t>
      </w:r>
      <w:r>
        <w:rPr>
          <w:b w:val="0"/>
          <w:i w:val="0"/>
        </w:rPr>
        <w:t>The launch requires account-by-account formulary and reimbursement activation. Its safety profile should support a niche in older patients, but Libtayo and Keytruda are established. FY27 is mainly an access-building year, with a more visible revenue contribution from FY28.</w:t>
      </w:r>
    </w:p>
    <w:p>
      <w:pPr>
        <w:pStyle w:val="Heading1"/>
      </w:pPr>
      <w:r>
        <w:t>4  Ilumya PsA opportunity</w:t>
      </w:r>
    </w:p>
    <w:p>
      <w:pPr>
        <w:keepNext w:val="0"/>
        <w:spacing w:before="0" w:after="100" w:line="259" w:lineRule="auto"/>
      </w:pPr>
      <w:r>
        <w:rPr>
          <w:b w:val="0"/>
          <w:i w:val="0"/>
        </w:rPr>
        <w:t>We expect PsA to extend Ilumya's growth runway, with a moderate contribution over the next three years. The FDA has accepted the supplemental filing and set 29 October 2026 as the action date. Both Phase 3 trials met the Week 24 ACR20 primary endpoint in anti-TNF-experienced and anti-TNF-naive populations, but Sun has not yet disclosed the response magnitude. Comparative differentiation therefore remains unproven.</w:t>
      </w:r>
    </w:p>
    <w:p>
      <w:pPr>
        <w:keepNext w:val="0"/>
        <w:spacing w:before="0" w:after="100" w:line="259" w:lineRule="auto"/>
      </w:pPr>
      <w:r>
        <w:rPr>
          <w:b w:val="0"/>
          <w:i w:val="0"/>
        </w:rPr>
        <w:t>The commercial case rests on Ilumya's existing access, established safety record and every-12-week physician administration. These attributes can support adherence and allow dermatologists to identify psoriasis patients with joint symptoms. The constraints are a crowded PsA market, the need to build rheumatology adoption and established competition from TNF, IL-17, IL-23 and JAK therapies.</w:t>
      </w:r>
    </w:p>
    <w:p>
      <w:pPr>
        <w:keepNext w:val="0"/>
        <w:spacing w:before="0" w:after="160" w:line="259" w:lineRule="auto"/>
      </w:pPr>
      <w:r>
        <w:rPr>
          <w:b w:val="0"/>
          <w:i w:val="0"/>
        </w:rPr>
        <w:t>Our base case assumes incremental PsA sales of US$50-75m in FY28 and US$125-200m in FY29, with potential peak sales of US$200-350m. This should support continued Ilumya growth and franchise duration. A materially higher outcome would require the full Phase 3 dataset to show a clear advantage on ACR50/70, enthesitis, dactylitis or persistence.</w:t>
      </w:r>
    </w:p>
    <w:p>
      <w:pPr>
        <w:keepNext w:val="0"/>
        <w:spacing w:before="0" w:after="20" w:line="259" w:lineRule="auto"/>
      </w:pPr>
      <w:r>
        <w:rPr>
          <w:b w:val="0"/>
          <w:i w:val="0"/>
        </w:rPr>
        <w:t>Regards,</w:t>
      </w:r>
    </w:p>
    <w:p>
      <w:pPr>
        <w:keepNext w:val="0"/>
        <w:spacing w:before="0" w:after="0" w:line="259" w:lineRule="auto"/>
      </w:pPr>
      <w:r>
        <w:rPr>
          <w:b w:val="0"/>
          <w:i w:val="0"/>
        </w:rPr>
        <w:t>Nandan</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olor w:val="7F7F7F"/>
        <w:sz w:val="16"/>
      </w:rPr>
      <w:t>Sun Pharma client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10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 Pharma Client Response</dc:title>
  <dc:subject>Leqselvi Unloxcyt and Ilumya PsA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