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Zydus: First Generic Adempas Adds a US$20-25Mn FY27E Opportunity; Para IV Strategy Continues to Deliver!</w:t>
      </w:r>
    </w:p>
    <w:p>
      <w:pPr>
        <w:pStyle w:val="Heading1"/>
      </w:pPr>
      <w:r>
        <w:t>HIGHLIGHTS</w:t>
      </w:r>
    </w:p>
    <w:p>
      <w:r>
        <w:t>Zydus and MSN have launched the first generic version of Adempas in the US across all five tablet strengths, with MSN developing and manufacturing the product and Zydus leading commercialization. We estimate US$20-25Mn of FY27E sales if Zydus reaches c.10% share during the October-March launch period. This translates into INR 1.9-2.4Bn of revenue and INR 0.4-0.6 of EPS, or c.0.7-1.0% of our FY27E EPS estimate, assuming a 30-35% contribution margin. Partnership economics are undisclosed and can change reported revenue under gross versus net accounting. The earnings contribution is small at the group level. The launch adds a new product to the US base and supports our Outperform thesis. We remain Outperform on Zydus with a TP of INR 1,457.</w:t>
      </w:r>
    </w:p>
    <w:p>
      <w:r>
        <w:t>Adempas is a high-value chronic therapy used in pulmonary arterial hypertension and chronic thromboembolic pulmonary hypertension. Both diseases raise pulmonary vascular resistance and increase the load on the right side of the heart. Riociguat stimulates soluble guanylate cyclase, increases cyclic GMP and relaxes pulmonary blood vessels. It is the only US-approved drug for inoperable or persistent CTEPH. Treatment is taken three times daily and titrated across five strengths from 0.5mg to 2.5mg. Pregnancy risk requires a REMS programme. These requirements concentrate prescribing within specialist centres and make patient conversion slower than for a standard oral generic. Bayer reported EUR 745Mn of global Adempas sales in 2025. US Medicare Part D gross spending alone was c.US$791Mn across c.5,300 beneficiaries.</w:t>
      </w:r>
    </w:p>
    <w:p>
      <w:r>
        <w:t>MSN filed ANDA 211135 in October 2017 with Paragraph IV certifications against the listed Adempas patents. Bayer and MSN settled the core Delaware patent cases in December 2020. The launch before the compound patent expires on 4 December 2026 indicates that the settlement created an early-entry route. We describe this as settlement-enabled entry because public records do not show a court judgment invalidating the patents. FDA identified MSN as one of the first applicants and stated that it may be eligible for shared 180-day exclusivity. The agency had not made a final exclusivity determination. Our estimates therefore assume no protected six-month period. Follow-on competition after December 2026 can reduce price and share. The launch is another proof point that Zydus can convert partner-developed Paragraph IV assets into commercial products, consistent with the US specialty and complex-generics leg of our initiation thesis.</w:t>
      </w:r>
    </w:p>
    <w:p>
      <w:r>
        <w:br w:type="page"/>
      </w:r>
    </w:p>
    <w:p>
      <w:pPr>
        <w:pStyle w:val="Heading1"/>
      </w:pPr>
      <w:r>
        <w:t>DETAILS</w:t>
      </w:r>
    </w:p>
    <w:p>
      <w:pPr>
        <w:pStyle w:val="Heading2"/>
      </w:pPr>
      <w:r>
        <w:t>Adempas Treats PAH and CTEPH Through the sGC Pathway</w:t>
      </w:r>
    </w:p>
    <w:p>
      <w:r>
        <w:t>Adempas addresses two rare diseases that damage the right side of the heart through different routes. In pulmonary arterial hypertension, small pulmonary arteries narrow and remodel, raising pulmonary vascular resistance. In chronic thromboembolic pulmonary hypertension, organised blood clots remain lodged in the pulmonary arteries and obstruct blood flow. Surgery is the preferred option for operable CTEPH. Riociguat is used when surgery is not possible or pulmonary hypertension persists after surgery. In both diseases, the treatment objective is to reduce resistance in the lung circulation, improve exercise capacity and delay clinical worsening.</w:t>
      </w:r>
    </w:p>
    <w:p>
      <w:r>
        <w:t>Riociguat acts on the nitric oxide-soluble guanylate cyclase-cyclic GMP pathway. Nitric oxide normally activates soluble guanylate cyclase, which increases cyclic GMP and relaxes vascular smooth muscle. This pathway is impaired in pulmonary hypertension. Riociguat sensitizes soluble guanylate cyclase to endogenous nitric oxide and stimulates the enzyme directly. In the pivotal trials, Adempas improved six-minute walk distance by 46 metres versus placebo in CTEPH and by 36 metres in PAH. The clinical benefit is supported by a dosing regimen that allows physicians to titrate treatment according to blood pressure and tolerability.</w:t>
      </w:r>
    </w:p>
    <w:p>
      <w:r>
        <w:t>The product is available in 0.5mg, 1mg, 1.5mg, 2mg and 2.5mg tablets. Treatment generally starts at 1mg three times daily and increases in 0.5mg steps no sooner than every two weeks, up to 2.5mg three times daily. Pregnancy is contraindicated and dispensing is managed through a REMS programme. Nitrates and PDE5 inhibitors are also contraindicated. A generic supplier therefore needs formulary access, specialist acceptance, specialty-pharmacy readiness and continuity across all five strengths. This should produce a more measured conversion curve than a standard retail generic.</w:t>
      </w:r>
    </w:p>
    <w:p>
      <w:pPr>
        <w:pStyle w:val="Heading2"/>
      </w:pPr>
      <w:r>
        <w:t>US Market Supports a US$20-25Mn FY27E Opportunity</w:t>
      </w:r>
    </w:p>
    <w:p>
      <w:r>
        <w:t>Bayer reported EUR 745Mn of global Adempas sales in 2025, up 3% as reported, with US volume the main growth driver. Quarterly sales remained within EUR 171-191Mn from Q1 2024 to Q2 2026. H1 2026 sales were EUR 368Mn, flat year-on-year. The stability of the franchise points to a chronic patient base with limited volume volatility before generic entry. US Medicare Part D data show c.US$791Mn of gross spending in 2025 across c.5,300 beneficiaries. This figure includes plan and patient payments and excludes rebates, so it should not be read as Bayer's net US sales. It establishes the scale of US drug expenditure and the value per treated patient.</w:t>
      </w:r>
    </w:p>
    <w:p>
      <w:pPr>
        <w:pStyle w:val="Exhibit"/>
      </w:pPr>
      <w:r>
        <w:t>Exhibit 1 - Adempas quarterly sales have remained within EUR 171-191Mn; generic entry begins from a stable brand base</w:t>
      </w:r>
    </w:p>
    <w:p>
      <w:pPr>
        <w:pStyle w:val="Source"/>
      </w:pPr>
      <w:r>
        <w:t>Source: Bayer quarterly and annual reports, Bernstein analysis</w:t>
      </w:r>
    </w:p>
    <w:p>
      <w:r>
        <w:t>Our FY27E estimate begins with the c.US$0.8Bn Part D gross-spend pool. We assume the generic realizes 50-60% of brand gross value after rebates and channel deductions, Zydus reaches c.10% share and the launch contributes for six months. This produces US$20-25Mn of FY27E sales. A 5% share would generate US$10-12Mn, while a 15% share would generate US$30-36Mn. The base case requires Zydus to convert roughly one in ten prescription-value dollars through formulary wins, specialty-pharmacy onboarding and a mix of new patient starts and payer-led switches. It does not require rapid conversion of the full installed patient base.</w:t>
      </w:r>
    </w:p>
    <w:p>
      <w:pPr>
        <w:pStyle w:val="Exhibit"/>
      </w:pPr>
      <w:r>
        <w:t>Exhibit 2 - Zydus Adempas FY27E sales sensitivity at 5%, 10% and 15% US share</w:t>
      </w:r>
    </w:p>
    <w:p>
      <w:pPr>
        <w:pStyle w:val="Sensitivity"/>
      </w:pPr>
      <w:r>
        <w:t>5% share: US$10-12Mn sales; INR 1.0-1.2Bn revenue; INR 0.2-0.3 EPS</w:t>
      </w:r>
    </w:p>
    <w:p>
      <w:pPr>
        <w:pStyle w:val="Sensitivity"/>
      </w:pPr>
      <w:r>
        <w:t>10% share: US$20-25Mn sales; INR 1.9-2.4Bn revenue; INR 0.4-0.6 EPS</w:t>
      </w:r>
    </w:p>
    <w:p>
      <w:pPr>
        <w:pStyle w:val="Sensitivity"/>
      </w:pPr>
      <w:r>
        <w:t>15% share: US$30-36Mn sales; INR 2.9-3.5Bn revenue; INR 0.7-0.9 EPS</w:t>
      </w:r>
    </w:p>
    <w:p>
      <w:pPr>
        <w:pStyle w:val="Source"/>
      </w:pPr>
      <w:r>
        <w:t>Source: CMS Medicare Part D public-use data, company reports, Bernstein estimates and analysis. Price realization, market share, contribution margin and EPS are Bernstein estimates. Zydus-MSN commercial economics are undisclosed.</w:t>
      </w:r>
    </w:p>
    <w:p>
      <w:pPr>
        <w:pStyle w:val="Heading2"/>
        <w:pageBreakBefore/>
      </w:pPr>
      <w:r>
        <w:t>Para IV Settlement Enabled Entry Ahead of Patent Expiry</w:t>
      </w:r>
    </w:p>
    <w:p>
      <w:r>
        <w:t>The launch is the result of a nine-year regulatory and patent process. MSN submitted ANDA 211135 on 10 October 2017 and made Paragraph IV certifications against the listed patents. The filing triggered litigation in Delaware. Bayer and MSN settled the core cases in December 2020. FDA granted final approval on 1 September 2022. The approval letter listed a compound patent expiring on 4 December 2026 and two later patents expiring in 2034. The commercial launch ahead of the compound-patent date confirms that MSN secured an early-entry path through the settlement.</w:t>
      </w:r>
    </w:p>
    <w:p>
      <w:r>
        <w:t>The 180-day exclusivity position remains unclear. FDA's approval letter stated that MSN was one of the first applicants and may be eligible for shared exclusivity. The letter also identified a possible forfeiture issue because tentative approval was not obtained within the statutory 30-month period. FDA had not reached a final decision when the approval letter was issued. Teva has a tentative approval and other filers have appeared in subsequent patent litigation. Our estimates therefore assume no protected exclusivity and allow for additional competition after December 2026.</w:t>
      </w:r>
    </w:p>
    <w:p>
      <w:pPr>
        <w:pStyle w:val="Heading2"/>
      </w:pPr>
      <w:r>
        <w:t>Zydus MSN Partnership Adds INR 0.4-0.6 of FY27E EPS</w:t>
      </w:r>
    </w:p>
    <w:p>
      <w:r>
        <w:t>The Zydus-MSN structure divides the value chain between development and commercialization. MSN owns product development and manufacturing, while Zydus contributes its US regulatory and commercial platform. This reduces development risk for Zydus and gives MSN access to a scaled US front end. The commercial agreement is not public, so reported revenue can vary depending on whether Zydus records product sales gross or recognizes a net commercial share. We assume a 30-35% contribution margin after MSN's economics and a 25% tax rate, resulting in INR 0.4-0.6 of FY27E EPS in the 10% share case.</w:t>
      </w:r>
    </w:p>
    <w:p>
      <w:r>
        <w:t>Zydus reported US$327Mn of North America revenue in Q1 FY27. Our US$20-25Mn Adempas estimate equals c.3-4% of an unchanged six-month regional revenue run-rate and c.0.6-0.7% of our FY27E group revenue estimate. The product can offset part of the routine price erosion in the existing US base. It is not large enough to reset the group growth profile on its own. Its larger relevance is as another proof point for the partner-led Paragraph IV strategy highlighted in our initiation work.</w:t>
      </w:r>
    </w:p>
    <w:p>
      <w:r>
        <w:t>The three variables to track are the pace of specialist conversion, the timing of follow-on generic approvals and the Zydus-MSN economic split. Faster formulary access can move sales towards the 15% share case. Multiple launches after December 2026 would reduce price and limit share. Net revenue accounting would lower reported sales without an equal reduction in profit. On balance, we see US$20-25Mn as a reasonable FY27E opportunity, with INR 0.4-0.6 of EPS and a positive read-through for the repeatability of Zydus's US pipeline model. We remain Outperform with a TP of INR 1,457.</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5"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hibit">
    <w:name w:val="Exhibit"/>
    <w:pPr>
      <w:keepNext/>
      <w:spacing w:after="60"/>
    </w:pPr>
    <w:rPr>
      <w:rFonts w:ascii="Arial" w:hAnsi="Arial"/>
      <w:b/>
      <w:i w:val="0"/>
      <w:color w:val="000000"/>
      <w:sz w:val="20"/>
    </w:rPr>
  </w:style>
  <w:style w:type="paragraph" w:customStyle="1" w:styleId="Source">
    <w:name w:val="Source"/>
    <w:pPr>
      <w:keepNext w:val="0"/>
      <w:spacing w:after="60"/>
    </w:pPr>
    <w:rPr>
      <w:rFonts w:ascii="Arial" w:hAnsi="Arial"/>
      <w:b w:val="0"/>
      <w:i/>
      <w:color w:val="5F5F5F"/>
      <w:sz w:val="16"/>
    </w:rPr>
  </w:style>
  <w:style w:type="paragraph" w:customStyle="1" w:styleId="Sensitivity">
    <w:name w:val="Sensitivity"/>
    <w:pPr>
      <w:keepNext w:val="0"/>
      <w:spacing w:after="60"/>
      <w:ind w:left="288"/>
    </w:pPr>
    <w:rPr>
      <w:rFonts w:ascii="Arial" w:hAnsi="Arial"/>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Zydus First Generic Adempas Quick Take</dc:title>
  <dc:subject>Zydus Adempas quick take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