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1876c55e698f0ea0a45e2ddabe1fbd51bf9f670"/>
    <w:p>
      <w:pPr>
        <w:pStyle w:val="Heading1"/>
      </w:pPr>
      <w:r>
        <w:t xml:space="preserve">INDIA HEALTHCARE: THE MOLECULE IS NO LONGER THE PRODUCT: WHO OWNS THE DRUG-DELIVERY MOAT?</w:t>
      </w:r>
    </w:p>
    <w:bookmarkStart w:id="9" w:name="X3356eab7f997eadc07ec31696ed970e7028fe4c"/>
    <w:p>
      <w:pPr>
        <w:pStyle w:val="Heading3"/>
      </w:pPr>
      <w:r>
        <w:t xml:space="preserve">Advanced drug delivery is creating real barriers in inhalation, implants and automated therapy, but we believe investors overestimate the moat in simple injection devices</w:t>
      </w:r>
    </w:p>
    <w:bookmarkEnd w:id="9"/>
    <w:bookmarkStart w:id="10" w:name="executive-summary"/>
    <w:p>
      <w:pPr>
        <w:pStyle w:val="Heading2"/>
      </w:pPr>
      <w:r>
        <w:t xml:space="preserve">EXECUTIVE SUMMARY</w:t>
      </w:r>
    </w:p>
    <w:p>
      <w:pPr>
        <w:pStyle w:val="FirstParagraph"/>
      </w:pPr>
      <w:r>
        <w:rPr>
          <w:b/>
          <w:bCs/>
        </w:rPr>
        <w:t xml:space="preserve">Drug delivery is becoming more valuable, but</w:t>
      </w:r>
      <w:r>
        <w:rPr>
          <w:b/>
          <w:bCs/>
        </w:rPr>
        <w:t xml:space="preserve"> </w:t>
      </w:r>
      <w:r>
        <w:rPr>
          <w:b/>
          <w:bCs/>
        </w:rPr>
        <w:t xml:space="preserve">“devices replacing pills”</w:t>
      </w:r>
      <w:r>
        <w:rPr>
          <w:b/>
          <w:bCs/>
        </w:rPr>
        <w:t xml:space="preserve"> </w:t>
      </w:r>
      <w:r>
        <w:rPr>
          <w:b/>
          <w:bCs/>
        </w:rPr>
        <w:t xml:space="preserve">is the wrong investment thesis.</w:t>
      </w:r>
      <w:r>
        <w:t xml:space="preserve"> </w:t>
      </w:r>
      <w:r>
        <w:t xml:space="preserve">We see three very different businesses hiding under the drug-delivery label. The first changes</w:t>
      </w:r>
      <w:r>
        <w:t xml:space="preserve"> </w:t>
      </w:r>
      <w:r>
        <w:rPr>
          <w:b/>
          <w:bCs/>
        </w:rPr>
        <w:t xml:space="preserve">where the drug acts</w:t>
      </w:r>
      <w:r>
        <w:t xml:space="preserve">: inhalers and drug-eluting coronary devices can generate high local exposure while limiting systemic drug. The second changes</w:t>
      </w:r>
      <w:r>
        <w:t xml:space="preserve"> </w:t>
      </w:r>
      <w:r>
        <w:rPr>
          <w:b/>
          <w:bCs/>
        </w:rPr>
        <w:t xml:space="preserve">how the drug is exposed over time</w:t>
      </w:r>
      <w:r>
        <w:t xml:space="preserve">: patches, long-acting implants and pumps flatten pharmacokinetic peaks or extend dosing from hours to years. The third largely changes</w:t>
      </w:r>
      <w:r>
        <w:t xml:space="preserve"> </w:t>
      </w:r>
      <w:r>
        <w:rPr>
          <w:b/>
          <w:bCs/>
        </w:rPr>
        <w:t xml:space="preserve">how easily the patient takes the medicine</w:t>
      </w:r>
      <w:r>
        <w:t xml:space="preserve">: pens, prefilled syringes and autoinjectors can simplify self-administration without changing the underlying pharmacology. The first two generally create higher clinical barriers. The third can still create a large commercial advantage, but only when ease of use materially changes site of care, adherence or cost. We therefore do not believe all drug-device products deserve a</w:t>
      </w:r>
      <w:r>
        <w:t xml:space="preserve"> </w:t>
      </w:r>
      <w:r>
        <w:t xml:space="preserve">“complex product”</w:t>
      </w:r>
      <w:r>
        <w:t xml:space="preserve"> </w:t>
      </w:r>
      <w:r>
        <w:t xml:space="preserve">valuation premium.</w:t>
      </w:r>
    </w:p>
    <w:p>
      <w:pPr>
        <w:pStyle w:val="BodyText"/>
      </w:pPr>
      <w:r>
        <w:rPr>
          <w:b/>
          <w:bCs/>
        </w:rPr>
        <w:t xml:space="preserve">The investable device market is also much smaller than the drug revenues running through it.</w:t>
      </w:r>
      <w:r>
        <w:t xml:space="preserve"> </w:t>
      </w:r>
      <w:r>
        <w:t xml:space="preserve">Stevanato, using IQVIA data, sizes the 2025 direct market for pen injectors, autoinjectors, non-insulin on-body systems and DPIs at approximately</w:t>
      </w:r>
      <w:r>
        <w:t xml:space="preserve"> </w:t>
      </w:r>
      <w:r>
        <w:rPr>
          <w:b/>
          <w:bCs/>
        </w:rPr>
        <w:t xml:space="preserve">US$3.6bn</w:t>
      </w:r>
      <w:r>
        <w:t xml:space="preserve">, growing around</w:t>
      </w:r>
      <w:r>
        <w:t xml:space="preserve"> </w:t>
      </w:r>
      <w:r>
        <w:rPr>
          <w:b/>
          <w:bCs/>
        </w:rPr>
        <w:t xml:space="preserve">9% annually through 2030</w:t>
      </w:r>
      <w:r>
        <w:t xml:space="preserve">. Primary injectable containers such as prefillable syringes, vials and cartridges add another</w:t>
      </w:r>
      <w:r>
        <w:t xml:space="preserve"> </w:t>
      </w:r>
      <w:r>
        <w:rPr>
          <w:b/>
          <w:bCs/>
        </w:rPr>
        <w:t xml:space="preserve">US$4.7bn</w:t>
      </w:r>
      <w:r>
        <w:t xml:space="preserve"> </w:t>
      </w:r>
      <w:r>
        <w:t xml:space="preserve">market, with prefillable syringes growing around 14%. Compare this with the medicines delivered through those systems: Lilly’s Mounjaro and Zepbound alone are now franchises measured in tens of billions of dollars, GSK’s Trelegy generated £3.0bn in 2025 and Organon’s Nexplanon generated US$921m.</w:t>
      </w:r>
      <w:r>
        <w:t xml:space="preserve"> </w:t>
      </w:r>
      <w:r>
        <w:rPr>
          <w:b/>
          <w:bCs/>
        </w:rPr>
        <w:t xml:space="preserve">The device supplier captures a fraction of the pharmaceutical economics, but can still control a failure point for a much larger drug franchise.</w:t>
      </w:r>
      <w:r>
        <w:t xml:space="preserve"> </w:t>
      </w:r>
      <w:r>
        <w:t xml:space="preserve">That is why a US$3-4bn device-supplier market can matter strategically to drug markets many times larger.</w:t>
      </w:r>
    </w:p>
    <w:p>
      <w:pPr>
        <w:pStyle w:val="BodyText"/>
      </w:pPr>
      <w:r>
        <w:rPr>
          <w:b/>
          <w:bCs/>
        </w:rPr>
        <w:t xml:space="preserve">We see the highest structural device moats in inhalation and automated/continuous delivery, followed by selected implants and high-volume injectors; we see a lower moat in commodity pens and prefilled syringes.</w:t>
      </w:r>
      <w:r>
        <w:t xml:space="preserve"> </w:t>
      </w:r>
      <w:r>
        <w:t xml:space="preserve">In an inhaler, device resistance, aerosolisation, particle-size distribution and patient inspiratory technique directly affect how much drug reaches the lung. In automated insulin delivery, the pump, CGM and algorithm jointly alter glucose exposure throughout the day. In Nexplanon, delivery converts a daily adherence problem into up to five years of contraception. By contrast, a standard fixed-dose pen around a well-understood subcutaneous molecule can be outsourced to Ypsomed, SHL, BD, Stevanato, Gerresheimer or another specialist.</w:t>
      </w:r>
      <w:r>
        <w:t xml:space="preserve"> </w:t>
      </w:r>
      <w:r>
        <w:rPr>
          <w:b/>
          <w:bCs/>
        </w:rPr>
        <w:t xml:space="preserve">The more easily the pharma company can change device supplier without changing clinical performance, the weaker the device moat.</w:t>
      </w:r>
      <w:r>
        <w:t xml:space="preserve"> </w:t>
      </w:r>
      <w:r>
        <w:t xml:space="preserve">Stevanato identifies SHL, Ypsomed, West and BD as major drug-delivery competitors, which itself tells us that much of this engineering sits outside pharma companies.</w:t>
      </w:r>
    </w:p>
    <w:p>
      <w:pPr>
        <w:pStyle w:val="BodyText"/>
      </w:pPr>
      <w:r>
        <w:rPr>
          <w:b/>
          <w:bCs/>
        </w:rPr>
        <w:t xml:space="preserve">India is already showing why device economics and molecule economics need to be separated.</w:t>
      </w:r>
      <w:r>
        <w:t xml:space="preserve"> </w:t>
      </w:r>
      <w:r>
        <w:t xml:space="preserve">The post-LOE semaglutide market in the reference work did not immediately collapse into the cheapest generic. Pens generated more value than vials or cartridges, and the innovator retained substantial value share after generic entry. At the same time, Zydus and Lupin entered with a reusable pen architecture that lowers repeated hardware content, while Sun entered with European-sourced prefilled and multidose pens.</w:t>
      </w:r>
      <w:r>
        <w:t xml:space="preserve"> </w:t>
      </w:r>
      <w:r>
        <w:rPr>
          <w:b/>
          <w:bCs/>
        </w:rPr>
        <w:t xml:space="preserve">The early market therefore suggests three distinct consumer segments: patients paying for innovator familiarity; patients paying for pen convenience; and price-sensitive patients willing to trade convenience for lower-cost formats.</w:t>
      </w:r>
      <w:r>
        <w:t xml:space="preserve"> </w:t>
      </w:r>
      <w:r>
        <w:t xml:space="preserve">That is a much more useful framework than assuming every semaglutide injection competes in one price pool. Sun states that its Noveltreat concealed-needle prefilled pen and Sematrinity multidose pen were developed by global device suppliers and manufactured in Europe, while Lupin explicitly licenses Zydus’ 15 mg/3 mL semaglutide in a reusable pen.</w:t>
      </w:r>
    </w:p>
    <w:p>
      <w:pPr>
        <w:pStyle w:val="BodyText"/>
      </w:pPr>
      <w:r>
        <w:rPr>
          <w:b/>
          <w:bCs/>
        </w:rPr>
        <w:t xml:space="preserve">For Indian pharma, we rank Zydus first, Lupin second and Sun Pharma third on current proprietary exposure to the theme. The ranking is not the same as our stock ranking.</w:t>
      </w:r>
      <w:r>
        <w:t xml:space="preserve"> </w:t>
      </w:r>
      <w:r>
        <w:t xml:space="preserve">Zydus has the broadest combination of regulated-market transdermal capability and a semaglutide product platform that it developed and licenses to Lupin. Lupin has the strongest proof of complex respiratory execution among our preferred names: its US tiotropium DPI was the first FDA-approved generic Spiriva HandiHaler and the first India-developed DPI approved in the US, and Lupin has more than 20 inhalation programmes in its pipeline. Sun has the largest commercial scale, but its current semaglutide devices are externally sourced and we find less evidence of a proprietary device platform today. The Organon transaction can materially change Sun’s exposure because Nexplanon is a scaled implant franchise, but the transaction is expected to close only in early 2027 and remains subject to regulatory completion.</w:t>
      </w:r>
    </w:p>
    <w:p>
      <w:pPr>
        <w:pStyle w:val="BodyText"/>
      </w:pPr>
      <w:r>
        <w:rPr>
          <w:b/>
          <w:bCs/>
        </w:rPr>
        <w:t xml:space="preserve">The most important counterargument is that oral chemistry is improving at the same time as devices.</w:t>
      </w:r>
      <w:r>
        <w:t xml:space="preserve"> </w:t>
      </w:r>
      <w:r>
        <w:t xml:space="preserve">Lilly’s orforglipron is now an FDA-approved once-daily, non-peptide oral GLP-1 that does not require food or water restrictions, while Novo Nordisk obtained European approval for oral Wegovy in July 2026. Novo simultaneously received approval for a higher-dose 7.2 mg injectable Wegovy pen. The largest contemporary drug class is therefore developing in both directions at once.</w:t>
      </w:r>
      <w:r>
        <w:t xml:space="preserve"> </w:t>
      </w:r>
      <w:r>
        <w:rPr>
          <w:b/>
          <w:bCs/>
        </w:rPr>
        <w:t xml:space="preserve">We think this is the correct mental model for the entire report: a device wins only where the incremental clinical or behavioural benefit remains greater than the additional cost and inconvenience after oral technology improves.</w:t>
      </w:r>
    </w:p>
    <w:p>
      <w:r>
        <w:pict>
          <v:rect style="width:0;height:1.5pt" o:hralign="center" o:hrstd="t" o:hr="t"/>
        </w:pict>
      </w:r>
    </w:p>
    <w:bookmarkEnd w:id="10"/>
    <w:bookmarkEnd w:id="11"/>
    <w:bookmarkStart w:id="15" w:name="our-investment-view"/>
    <w:p>
      <w:pPr>
        <w:pStyle w:val="Heading1"/>
      </w:pPr>
      <w:r>
        <w:t xml:space="preserve">OUR INVESTMENT VIEW</w:t>
      </w:r>
    </w:p>
    <w:bookmarkStart w:id="12" w:name="Xf7f78bccbc4a4de863b9ade4e09cd953cb94cfe"/>
    <w:p>
      <w:pPr>
        <w:pStyle w:val="Heading3"/>
      </w:pPr>
      <w:r>
        <w:t xml:space="preserve">ZYDUS LIFESCIENCES, OUTPERFORM: THE BEST CURRENT INDIA EXPOSURE IS NOT</w:t>
      </w:r>
      <w:r>
        <w:t xml:space="preserve"> </w:t>
      </w:r>
      <w:r>
        <w:t xml:space="preserve">“MORE DEVICES”</w:t>
      </w:r>
      <w:r>
        <w:t xml:space="preserve">; IT IS CONTROL OF TWO RELEVANT DELIVERY PLATFORMS</w:t>
      </w:r>
    </w:p>
    <w:p>
      <w:pPr>
        <w:pStyle w:val="FirstParagraph"/>
      </w:pPr>
      <w:r>
        <w:t xml:space="preserve">We see two pieces of evidence rather than a broad claim of vertical integration. First, Zydus has an established regulated-market transdermal business. Second, Zydus developed the 15 mg/3 mL semaglutide product that Lupin now co-markets in India using a reusable pen. The licensing structure matters: Lupin pays upfront and milestone consideration to Zydus, while Zydus retains its own brands.</w:t>
      </w:r>
      <w:r>
        <w:t xml:space="preserve"> </w:t>
      </w:r>
      <w:r>
        <w:rPr>
          <w:b/>
          <w:bCs/>
        </w:rPr>
        <w:t xml:space="preserve">Zydus is therefore monetising the product platform twice, through its own field force and through a partner.</w:t>
      </w:r>
      <w:r>
        <w:t xml:space="preserve"> </w:t>
      </w:r>
      <w:r>
        <w:t xml:space="preserve">That is more valuable than merely purchasing a finished pen and attaching a brand.</w:t>
      </w:r>
    </w:p>
    <w:p>
      <w:pPr>
        <w:pStyle w:val="BodyText"/>
      </w:pPr>
      <w:r>
        <w:t xml:space="preserve">We would still stop short of saying Zydus owns every element of pen IP. The public disclosure establishes development of the semaglutide product and reusable pen presentation, not that Zydus designed every spring, cartridge interface and dose-setting patent internally.</w:t>
      </w:r>
      <w:r>
        <w:t xml:space="preserve"> </w:t>
      </w:r>
      <w:r>
        <w:rPr>
          <w:b/>
          <w:bCs/>
        </w:rPr>
        <w:t xml:space="preserve">Our investment credit is therefore for formulation-device integration and product control, not for an unverified claim of complete mechanical vertical integration.</w:t>
      </w:r>
    </w:p>
    <w:bookmarkEnd w:id="12"/>
    <w:bookmarkStart w:id="13" w:name="Xeeb42c01fa106bf3b36c16b62ea1aa18081124e"/>
    <w:p>
      <w:pPr>
        <w:pStyle w:val="Heading3"/>
      </w:pPr>
      <w:r>
        <w:t xml:space="preserve">LUPIN, OUTPERFORM: RESPIRATORY IS A REAL DEVICE MOAT; SEMAGLUTIDE IS CURRENTLY A LICENSED PRODUCT</w:t>
      </w:r>
    </w:p>
    <w:p>
      <w:pPr>
        <w:pStyle w:val="FirstParagraph"/>
      </w:pPr>
      <w:r>
        <w:t xml:space="preserve">Lupin is the cleanest example in our coverage of why regulatory proof matters more than a product catalogue. Its FY26 portfolio included the first FDA-approved generic Spiriva HandiHaler in the US, and Lupin describes more than</w:t>
      </w:r>
      <w:r>
        <w:t xml:space="preserve"> </w:t>
      </w:r>
      <w:r>
        <w:rPr>
          <w:b/>
          <w:bCs/>
        </w:rPr>
        <w:t xml:space="preserve">20 inhalation programmes</w:t>
      </w:r>
      <w:r>
        <w:t xml:space="preserve"> </w:t>
      </w:r>
      <w:r>
        <w:t xml:space="preserve">and</w:t>
      </w:r>
      <w:r>
        <w:t xml:space="preserve"> </w:t>
      </w:r>
      <w:r>
        <w:rPr>
          <w:b/>
          <w:bCs/>
        </w:rPr>
        <w:t xml:space="preserve">45 injectable programmes</w:t>
      </w:r>
      <w:r>
        <w:t xml:space="preserve"> </w:t>
      </w:r>
      <w:r>
        <w:t xml:space="preserve">in its development portfolio. The company has also launched risperidone long-acting injectable, liraglutide and glucagon in the US.</w:t>
      </w:r>
      <w:r>
        <w:t xml:space="preserve"> </w:t>
      </w:r>
      <w:r>
        <w:rPr>
          <w:b/>
          <w:bCs/>
        </w:rPr>
        <w:t xml:space="preserve">We view this as evidence of repeatable complex-product R&amp;D rather than one successful inhaler.</w:t>
      </w:r>
    </w:p>
    <w:p>
      <w:pPr>
        <w:pStyle w:val="BodyText"/>
      </w:pPr>
      <w:r>
        <w:t xml:space="preserve">We do not give Lupin the same credit in GLP-1 delivery. Its Indian semaglutide pen is Zydus’ platform. Respiratory experience helps organisationally because Lupin understands combination-product development, device-linked specifications and regulated-market filings, but an inhaler valve and an injection drive mechanism are not the same technology.</w:t>
      </w:r>
      <w:r>
        <w:t xml:space="preserve"> </w:t>
      </w:r>
      <w:r>
        <w:rPr>
          <w:b/>
          <w:bCs/>
        </w:rPr>
        <w:t xml:space="preserve">The transferability is regulatory and development-process capability, not mechanical IP.</w:t>
      </w:r>
    </w:p>
    <w:bookmarkEnd w:id="13"/>
    <w:bookmarkStart w:id="14" w:name="X52ee446ff7afadcd8269fc2042fbafc482e5d11"/>
    <w:p>
      <w:pPr>
        <w:pStyle w:val="Heading3"/>
      </w:pPr>
      <w:r>
        <w:t xml:space="preserve">SUN PHARMA, OUTPERFORM: CURRENTLY A FORMULATION AND COMMERCIALISATION STORY; ORGANON CAN MAKE IT A DEVICE STORY</w:t>
      </w:r>
    </w:p>
    <w:p>
      <w:pPr>
        <w:pStyle w:val="FirstParagraph"/>
      </w:pPr>
      <w:r>
        <w:t xml:space="preserve">Sun’s March 2026 semaglutide launch is instructive. Noveltreat uses a concealed-needle prefilled pen; Sematrinity uses a multidose pen. Sun discloses that both pens were developed by global pharmaceutical-device suppliers and manufactured in Europe.</w:t>
      </w:r>
      <w:r>
        <w:t xml:space="preserve"> </w:t>
      </w:r>
      <w:r>
        <w:rPr>
          <w:b/>
          <w:bCs/>
        </w:rPr>
        <w:t xml:space="preserve">This is a good commercial product, but it is explicitly not evidence that Sun owns the device platform.</w:t>
      </w:r>
    </w:p>
    <w:p>
      <w:pPr>
        <w:pStyle w:val="BodyText"/>
      </w:pPr>
      <w:r>
        <w:t xml:space="preserve">The proposed Organon acquisition is different. Organon generated US$6.2bn of revenue in 2025 and Nexplanon generated US$921m. Sun agreed to acquire Organon at an enterprise value of US$11.75bn, with closing expected in early 2027. If completed, Sun would acquire a top-three global women’s-health platform, including a device that requires physician insertion/removal, training, manufacturing know-how and regulatory evidence.</w:t>
      </w:r>
      <w:r>
        <w:t xml:space="preserve"> </w:t>
      </w:r>
      <w:r>
        <w:rPr>
          <w:b/>
          <w:bCs/>
        </w:rPr>
        <w:t xml:space="preserve">That would move Sun from device user to owner of a scaled drug-device franchise.</w:t>
      </w:r>
    </w:p>
    <w:p>
      <w:r>
        <w:pict>
          <v:rect style="width:0;height:1.5pt" o:hralign="center" o:hrstd="t" o:hr="t"/>
        </w:pict>
      </w:r>
    </w:p>
    <w:bookmarkEnd w:id="14"/>
    <w:bookmarkEnd w:id="15"/>
    <w:bookmarkStart w:id="17" w:name="X5886109a6ed343ef2a9d8f82e2b8f9f60ae6709"/>
    <w:p>
      <w:pPr>
        <w:pStyle w:val="Heading1"/>
      </w:pPr>
      <w:r>
        <w:t xml:space="preserve">DRUG DELIVERY IS NOT ONE MARKET: THE ECONOMIC POOL CHANGES BY PLATFORM</w:t>
      </w:r>
    </w:p>
    <w:p>
      <w:pPr>
        <w:pStyle w:val="FirstParagraph"/>
      </w:pPr>
      <w:r>
        <w:t xml:space="preserve">The first mistake in analysing this industry is adding together market-research estimates for</w:t>
      </w:r>
      <w:r>
        <w:t xml:space="preserve"> </w:t>
      </w:r>
      <w:r>
        <w:t xml:space="preserve">“drug delivery”</w:t>
      </w:r>
      <w:r>
        <w:t xml:space="preserve">. One report counts the drug in an autoinjector; another counts only the injector; a third counts fill-finish; an insulin-pump forecast includes hardware and consumables; a stent forecast includes a procedural device. Adding these produces a large number but no investment insight.</w:t>
      </w:r>
    </w:p>
    <w:p>
      <w:pPr>
        <w:pStyle w:val="BodyText"/>
      </w:pPr>
      <w:r>
        <w:t xml:space="preserve">We prefer three economic pools.</w:t>
      </w:r>
    </w:p>
    <w:p>
      <w:pPr>
        <w:pStyle w:val="BodyText"/>
      </w:pPr>
      <w:r>
        <w:rPr>
          <w:b/>
          <w:bCs/>
        </w:rPr>
        <w:t xml:space="preserve">Pool one is the drug.</w:t>
      </w:r>
      <w:r>
        <w:t xml:space="preserve"> </w:t>
      </w:r>
      <w:r>
        <w:t xml:space="preserve">Trelegy, Wegovy, Mounjaro, biologic autoinjectors and many transdermal systems are pharmaceutical franchises where the active drug captures most of the revenue.</w:t>
      </w:r>
    </w:p>
    <w:p>
      <w:pPr>
        <w:pStyle w:val="BodyText"/>
      </w:pPr>
      <w:r>
        <w:rPr>
          <w:b/>
          <w:bCs/>
        </w:rPr>
        <w:t xml:space="preserve">Pool two is the delivery system.</w:t>
      </w:r>
      <w:r>
        <w:t xml:space="preserve"> </w:t>
      </w:r>
      <w:r>
        <w:t xml:space="preserve">Insulin pumps, autoinjector mechanisms, pens, cartridges, inhaler devices and primary containers generate supplier revenue independent of drug selling price. Stevanato estimates its directly addressable drug-delivery-systems market, pens, DPIs, autoinjectors and non-insulin on-body devices, at US$3.6bn in 2025 with 9% CAGR through 2030. Its directly addressable drug-containment market, including prefillable syringes, vials and cartridges, is approximately US$4.7bn and growing around 8%, with PFS materially faster.</w:t>
      </w:r>
    </w:p>
    <w:p>
      <w:pPr>
        <w:pStyle w:val="BodyText"/>
      </w:pPr>
      <w:r>
        <w:rPr>
          <w:b/>
          <w:bCs/>
        </w:rPr>
        <w:t xml:space="preserve">Pool three is the procedure and service ecosystem.</w:t>
      </w:r>
      <w:r>
        <w:t xml:space="preserve"> </w:t>
      </w:r>
      <w:r>
        <w:t xml:space="preserve">Coronary stents require PCI; implants require HCP insertion and removal; pumps require training, consumables and often CGM integration. The device may therefore pull through economics elsewhere rather than capturing them itself.</w:t>
      </w:r>
    </w:p>
    <w:bookmarkStart w:id="16" w:name="X2295419dfb7ae1b7a8a478f24a184acb63369b1"/>
    <w:p>
      <w:pPr>
        <w:pStyle w:val="Heading3"/>
      </w:pPr>
      <w:r>
        <w:t xml:space="preserve">EXHIBIT 1: THE SUPPLIER MARKET IS ONLY A FRACTION OF THE DRUG REVENUE IT ENABLES</w:t>
      </w:r>
    </w:p>
    <w:p>
      <w:pPr>
        <w:pStyle w:val="FirstParagraph"/>
      </w:pPr>
      <w:r>
        <w:rPr>
          <w:b/>
          <w:bCs/>
        </w:rPr>
        <w:t xml:space="preserve">Chart:</w:t>
      </w:r>
      <w:r>
        <w:t xml:space="preserve"> </w:t>
      </w:r>
      <w:r>
        <w:t xml:space="preserve">Two-level waterfall.</w:t>
      </w:r>
    </w:p>
    <w:p>
      <w:pPr>
        <w:pStyle w:val="BodyText"/>
      </w:pPr>
      <w:r>
        <w:rPr>
          <w:b/>
          <w:bCs/>
        </w:rPr>
        <w:t xml:space="preserve">Level 1, direct device/containment pools</w:t>
      </w:r>
    </w:p>
    <w:p>
      <w:pPr>
        <w:pStyle w:val="Compact"/>
        <w:numPr>
          <w:ilvl w:val="0"/>
          <w:numId w:val="1001"/>
        </w:numPr>
      </w:pPr>
      <w:r>
        <w:t xml:space="preserve">Drug delivery systems: US$3.6bn, 2025</w:t>
      </w:r>
    </w:p>
    <w:p>
      <w:pPr>
        <w:pStyle w:val="Compact"/>
        <w:numPr>
          <w:ilvl w:val="0"/>
          <w:numId w:val="1001"/>
        </w:numPr>
      </w:pPr>
      <w:r>
        <w:t xml:space="preserve">Drug containment solutions: US$4.7bn, 2025</w:t>
      </w:r>
    </w:p>
    <w:p>
      <w:pPr>
        <w:pStyle w:val="Compact"/>
        <w:numPr>
          <w:ilvl w:val="0"/>
          <w:numId w:val="1001"/>
        </w:numPr>
      </w:pPr>
      <w:r>
        <w:t xml:space="preserve">Combined direct pool shown only as US$8.3bn where definitions do not overlap</w:t>
      </w:r>
    </w:p>
    <w:p>
      <w:pPr>
        <w:pStyle w:val="FirstParagraph"/>
      </w:pPr>
      <w:r>
        <w:rPr>
          <w:b/>
          <w:bCs/>
        </w:rPr>
        <w:t xml:space="preserve">Level 2, example drug/device franchises</w:t>
      </w:r>
    </w:p>
    <w:p>
      <w:pPr>
        <w:pStyle w:val="Compact"/>
        <w:numPr>
          <w:ilvl w:val="0"/>
          <w:numId w:val="1002"/>
        </w:numPr>
      </w:pPr>
      <w:r>
        <w:t xml:space="preserve">GSK Trelegy: £3.0bn 2025</w:t>
      </w:r>
    </w:p>
    <w:p>
      <w:pPr>
        <w:pStyle w:val="Compact"/>
        <w:numPr>
          <w:ilvl w:val="0"/>
          <w:numId w:val="1002"/>
        </w:numPr>
      </w:pPr>
      <w:r>
        <w:t xml:space="preserve">Organon Nexplanon: US$921m 2025</w:t>
      </w:r>
    </w:p>
    <w:p>
      <w:pPr>
        <w:pStyle w:val="Compact"/>
        <w:numPr>
          <w:ilvl w:val="0"/>
          <w:numId w:val="1002"/>
        </w:numPr>
      </w:pPr>
      <w:r>
        <w:t xml:space="preserve">Insulet Omnipod products: US$2.67bn 2025</w:t>
      </w:r>
    </w:p>
    <w:p>
      <w:pPr>
        <w:pStyle w:val="Compact"/>
        <w:numPr>
          <w:ilvl w:val="0"/>
          <w:numId w:val="1002"/>
        </w:numPr>
      </w:pPr>
      <w:r>
        <w:t xml:space="preserve">Gerresheimer Plastics &amp; Devices division: €1.35bn 2025, noting this includes products beyond the specific platforms in this report</w:t>
      </w:r>
    </w:p>
    <w:p>
      <w:pPr>
        <w:pStyle w:val="FirstParagraph"/>
      </w:pPr>
      <w:r>
        <w:rPr>
          <w:b/>
          <w:bCs/>
        </w:rPr>
        <w:t xml:space="preserve">Source:</w:t>
      </w:r>
      <w:r>
        <w:t xml:space="preserve"> </w:t>
      </w:r>
      <w:r>
        <w:t xml:space="preserve">Stevanato 2025 20-F, GSK FY25, Organon FY25, Insulet FY25, Gerresheimer FY25.</w:t>
      </w:r>
    </w:p>
    <w:p>
      <w:pPr>
        <w:pStyle w:val="BodyText"/>
      </w:pPr>
      <w:r>
        <w:rPr>
          <w:b/>
          <w:bCs/>
        </w:rPr>
        <w:t xml:space="preserve">What it proves:</w:t>
      </w:r>
      <w:r>
        <w:t xml:space="preserve"> </w:t>
      </w:r>
      <w:r>
        <w:t xml:space="preserve">the device can be strategically important even when the pharma company captures most of the end-market value.</w:t>
      </w:r>
    </w:p>
    <w:p>
      <w:pPr>
        <w:pStyle w:val="BodyText"/>
      </w:pPr>
      <w:r>
        <w:rPr>
          <w:b/>
          <w:bCs/>
        </w:rPr>
        <w:t xml:space="preserve">Investor takeaway:</w:t>
      </w:r>
      <w:r>
        <w:t xml:space="preserve"> </w:t>
      </w:r>
      <w:r>
        <w:t xml:space="preserve">do not infer supplier TAM from drug sales. A US$10bn biologic franchise does not create a US$10bn autoinjector market.</w:t>
      </w:r>
    </w:p>
    <w:p>
      <w:r>
        <w:pict>
          <v:rect style="width:0;height:1.5pt" o:hralign="center" o:hrstd="t" o:hr="t"/>
        </w:pict>
      </w:r>
    </w:p>
    <w:bookmarkEnd w:id="16"/>
    <w:bookmarkEnd w:id="17"/>
    <w:bookmarkStart w:id="19" w:name="X79bcbe205a0487ce03262568ecb3e4455ac90b0"/>
    <w:p>
      <w:pPr>
        <w:pStyle w:val="Heading1"/>
      </w:pPr>
      <w:r>
        <w:t xml:space="preserve">THE FIRST INVESTMENT FILTER: DOES DELIVERY CHANGE PHARMACOLOGY, BEHAVIOUR OR ONLY PACKAGING?</w:t>
      </w:r>
    </w:p>
    <w:p>
      <w:pPr>
        <w:pStyle w:val="FirstParagraph"/>
      </w:pPr>
      <w:r>
        <w:t xml:space="preserve">We classify the six platforms using one question:</w:t>
      </w:r>
      <w:r>
        <w:t xml:space="preserve"> </w:t>
      </w:r>
      <w:r>
        <w:rPr>
          <w:b/>
          <w:bCs/>
        </w:rPr>
        <w:t xml:space="preserve">what disappears if the device disappears?</w:t>
      </w:r>
    </w:p>
    <w:p>
      <w:pPr>
        <w:pStyle w:val="BodyText"/>
      </w:pPr>
      <w:r>
        <w:t xml:space="preserve">For a drug-eluting stent, local antiproliferative drug exposure disappears. For an inhaler, targeted lung delivery disappears. For a patch, the controlled transdermal input disappears. For a contraceptive implant, multi-year contraceptive persistence disappears. For an automated pump, continuous algorithm-controlled dosing disappears.</w:t>
      </w:r>
    </w:p>
    <w:p>
      <w:pPr>
        <w:pStyle w:val="BodyText"/>
      </w:pPr>
      <w:r>
        <w:t xml:space="preserve">For many autoinjectors, the drug does not disappear. The patient can potentially receive the same molecule through a prefilled syringe or clinic injection.</w:t>
      </w:r>
      <w:r>
        <w:t xml:space="preserve"> </w:t>
      </w:r>
      <w:r>
        <w:rPr>
          <w:b/>
          <w:bCs/>
        </w:rPr>
        <w:t xml:space="preserve">That does not make the device unimportant, but it changes the moat from pharmacology to convenience.</w:t>
      </w:r>
    </w:p>
    <w:bookmarkStart w:id="18" w:name="Xb856c29f98baef18028c02995544c9991026693"/>
    <w:p>
      <w:pPr>
        <w:pStyle w:val="Heading3"/>
      </w:pPr>
      <w:r>
        <w:t xml:space="preserve">EXHIBIT 2: THE STRONGEST DEVICE MOATS CHANGE THE THERAPY, NOT JUST THE ADMINISTRATION STEP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What the device actually changes</w:t>
            </w:r>
          </w:p>
        </w:tc>
        <w:tc>
          <w:tcPr/>
          <w:p>
            <w:pPr>
              <w:pStyle w:val="Compact"/>
            </w:pPr>
            <w:r>
              <w:t xml:space="preserve">Our moat assessment</w:t>
            </w:r>
          </w:p>
        </w:tc>
      </w:tr>
      <w:tr>
        <w:tc>
          <w:tcPr/>
          <w:p>
            <w:pPr>
              <w:pStyle w:val="Compact"/>
            </w:pPr>
            <w:r>
              <w:t xml:space="preserve">Drug-eluting stent/DCB</w:t>
            </w:r>
          </w:p>
        </w:tc>
        <w:tc>
          <w:tcPr/>
          <w:p>
            <w:pPr>
              <w:pStyle w:val="Compact"/>
            </w:pPr>
            <w:r>
              <w:t xml:space="preserve">Local tissue drug concentration</w:t>
            </w:r>
          </w:p>
        </w:tc>
        <w:tc>
          <w:tcPr/>
          <w:p>
            <w:pPr>
              <w:pStyle w:val="Compact"/>
            </w:pPr>
            <w:r>
              <w:t xml:space="preserve">High</w:t>
            </w:r>
          </w:p>
        </w:tc>
      </w:tr>
      <w:tr>
        <w:tc>
          <w:tcPr/>
          <w:p>
            <w:pPr>
              <w:pStyle w:val="Compact"/>
            </w:pPr>
            <w:r>
              <w:t xml:space="preserve">Inhaler</w:t>
            </w:r>
          </w:p>
        </w:tc>
        <w:tc>
          <w:tcPr/>
          <w:p>
            <w:pPr>
              <w:pStyle w:val="Compact"/>
            </w:pPr>
            <w:r>
              <w:t xml:space="preserve">Organ exposure and delivered pulmonary dose</w:t>
            </w:r>
          </w:p>
        </w:tc>
        <w:tc>
          <w:tcPr/>
          <w:p>
            <w:pPr>
              <w:pStyle w:val="Compact"/>
            </w:pPr>
            <w:r>
              <w:t xml:space="preserve">High</w:t>
            </w:r>
          </w:p>
        </w:tc>
      </w:tr>
      <w:tr>
        <w:tc>
          <w:tcPr/>
          <w:p>
            <w:pPr>
              <w:pStyle w:val="Compact"/>
            </w:pPr>
            <w:r>
              <w:t xml:space="preserve">Transdermal</w:t>
            </w:r>
          </w:p>
        </w:tc>
        <w:tc>
          <w:tcPr/>
          <w:p>
            <w:pPr>
              <w:pStyle w:val="Compact"/>
            </w:pPr>
            <w:r>
              <w:t xml:space="preserve">Absorption rate and exposure profile</w:t>
            </w:r>
          </w:p>
        </w:tc>
        <w:tc>
          <w:tcPr/>
          <w:p>
            <w:pPr>
              <w:pStyle w:val="Compact"/>
            </w:pPr>
            <w:r>
              <w:t xml:space="preserve">Medium</w:t>
            </w:r>
          </w:p>
        </w:tc>
      </w:tr>
      <w:tr>
        <w:tc>
          <w:tcPr/>
          <w:p>
            <w:pPr>
              <w:pStyle w:val="Compact"/>
            </w:pPr>
            <w:r>
              <w:t xml:space="preserve">Contraceptive implant</w:t>
            </w:r>
          </w:p>
        </w:tc>
        <w:tc>
          <w:tcPr/>
          <w:p>
            <w:pPr>
              <w:pStyle w:val="Compact"/>
            </w:pPr>
            <w:r>
              <w:t xml:space="preserve">Duration and adherence dependence</w:t>
            </w:r>
          </w:p>
        </w:tc>
        <w:tc>
          <w:tcPr/>
          <w:p>
            <w:pPr>
              <w:pStyle w:val="Compact"/>
            </w:pPr>
            <w:r>
              <w:t xml:space="preserve">High</w:t>
            </w:r>
          </w:p>
        </w:tc>
      </w:tr>
      <w:tr>
        <w:tc>
          <w:tcPr/>
          <w:p>
            <w:pPr>
              <w:pStyle w:val="Compact"/>
            </w:pPr>
            <w:r>
              <w:t xml:space="preserve">Pen/autoinjector</w:t>
            </w:r>
          </w:p>
        </w:tc>
        <w:tc>
          <w:tcPr/>
          <w:p>
            <w:pPr>
              <w:pStyle w:val="Compact"/>
            </w:pPr>
            <w:r>
              <w:t xml:space="preserve">Administration complexity; usually not drug PK</w:t>
            </w:r>
          </w:p>
        </w:tc>
        <w:tc>
          <w:tcPr/>
          <w:p>
            <w:pPr>
              <w:pStyle w:val="Compact"/>
            </w:pPr>
            <w:r>
              <w:t xml:space="preserve">Medium</w:t>
            </w:r>
          </w:p>
        </w:tc>
      </w:tr>
      <w:tr>
        <w:tc>
          <w:tcPr/>
          <w:p>
            <w:pPr>
              <w:pStyle w:val="Compact"/>
            </w:pPr>
            <w:r>
              <w:t xml:space="preserve">Pump/AID</w:t>
            </w:r>
          </w:p>
        </w:tc>
        <w:tc>
          <w:tcPr/>
          <w:p>
            <w:pPr>
              <w:pStyle w:val="Compact"/>
            </w:pPr>
            <w:r>
              <w:t xml:space="preserve">Continuous dosing and dose adaptation</w:t>
            </w:r>
          </w:p>
        </w:tc>
        <w:tc>
          <w:tcPr/>
          <w:p>
            <w:pPr>
              <w:pStyle w:val="Compact"/>
            </w:pPr>
            <w:r>
              <w:t xml:space="preserve">Very high</w:t>
            </w:r>
          </w:p>
        </w:tc>
      </w:tr>
    </w:tbl>
    <w:p>
      <w:pPr>
        <w:pStyle w:val="BodyText"/>
      </w:pPr>
      <w:r>
        <w:rPr>
          <w:b/>
          <w:bCs/>
        </w:rPr>
        <w:t xml:space="preserve">What it proves:</w:t>
      </w:r>
      <w:r>
        <w:t xml:space="preserve"> </w:t>
      </w:r>
      <w:r>
        <w:t xml:space="preserve">“device complexity”</w:t>
      </w:r>
      <w:r>
        <w:t xml:space="preserve"> </w:t>
      </w:r>
      <w:r>
        <w:t xml:space="preserve">by itself does not determine value.</w:t>
      </w:r>
    </w:p>
    <w:p>
      <w:pPr>
        <w:pStyle w:val="BodyText"/>
      </w:pPr>
      <w:r>
        <w:rPr>
          <w:b/>
          <w:bCs/>
        </w:rPr>
        <w:t xml:space="preserve">Investor takeaway:</w:t>
      </w:r>
      <w:r>
        <w:t xml:space="preserve"> </w:t>
      </w:r>
      <w:r>
        <w:t xml:space="preserve">we would pay a higher valuation premium for delivery technology that is difficult to substitute without changing clinical performance.</w:t>
      </w:r>
    </w:p>
    <w:p>
      <w:r>
        <w:pict>
          <v:rect style="width:0;height:1.5pt" o:hralign="center" o:hrstd="t" o:hr="t"/>
        </w:pict>
      </w:r>
    </w:p>
    <w:bookmarkEnd w:id="18"/>
    <w:bookmarkEnd w:id="19"/>
    <w:bookmarkStart w:id="21" w:name="X153c32d6a5c7eed24d7174a4c9cfa9b9e17f751"/>
    <w:p>
      <w:pPr>
        <w:pStyle w:val="Heading1"/>
      </w:pPr>
      <w:r>
        <w:t xml:space="preserve">PLATFORM 1: DRUG-ELUTING CORONARY TECHNOLOGY IS A DEVICE BUSINESS WITH A TINY DRUG BILL OF MATERIALS</w:t>
      </w:r>
    </w:p>
    <w:p>
      <w:pPr>
        <w:pStyle w:val="FirstParagraph"/>
      </w:pPr>
      <w:r>
        <w:t xml:space="preserve">A coronary stent is the most extreme example in this report of the device owning the economics. The drug quantity is small. The patient is paying for a PCI system that must cross a coronary lesion, expand predictably, provide radial support and then control local tissue proliferation.</w:t>
      </w:r>
    </w:p>
    <w:p>
      <w:pPr>
        <w:pStyle w:val="BodyText"/>
      </w:pPr>
      <w:r>
        <w:t xml:space="preserve">The problem being solved is restenosis. Balloon expansion and stent implantation injure the arterial wall. Smooth-muscle proliferation can narrow the treated segment again. A drug-eluting stent adds an antiproliferative drug such as everolimus or zotarolimus to suppress this healing response locally.</w:t>
      </w:r>
    </w:p>
    <w:p>
      <w:pPr>
        <w:pStyle w:val="BodyText"/>
      </w:pPr>
      <w:r>
        <w:t xml:space="preserve">The value of local delivery is measurable. In NORSTENT, DES reduced target-lesion revascularisation substantially versus bare-metal stents, with a hazard ratio of</w:t>
      </w:r>
      <w:r>
        <w:t xml:space="preserve"> </w:t>
      </w:r>
      <w:r>
        <w:rPr>
          <w:b/>
          <w:bCs/>
        </w:rPr>
        <w:t xml:space="preserve">0.44</w:t>
      </w:r>
      <w:r>
        <w:t xml:space="preserve"> </w:t>
      </w:r>
      <w:r>
        <w:t xml:space="preserve">over five years. The main benefit was less repeat treatment of the stented lesion, not a broad mortality advantage.</w:t>
      </w:r>
      <w:r>
        <w:t xml:space="preserve"> </w:t>
      </w:r>
      <w:r>
        <w:rPr>
          <w:b/>
          <w:bCs/>
        </w:rPr>
        <w:t xml:space="preserve">That is important commercially: the device does not need to improve every cardiovascular endpoint to become the standard platform. It needs to solve the failure mode caused by the procedure itself.</w:t>
      </w:r>
    </w:p>
    <w:p>
      <w:pPr>
        <w:pStyle w:val="BodyText"/>
      </w:pPr>
      <w:r>
        <w:t xml:space="preserve">The market is mature rather than a high-growth new category. Boston Scientific states that roughly</w:t>
      </w:r>
      <w:r>
        <w:t xml:space="preserve"> </w:t>
      </w:r>
      <w:r>
        <w:rPr>
          <w:b/>
          <w:bCs/>
        </w:rPr>
        <w:t xml:space="preserve">6m PCI procedures</w:t>
      </w:r>
      <w:r>
        <w:t xml:space="preserve"> </w:t>
      </w:r>
      <w:r>
        <w:t xml:space="preserve">are performed globally each year and that more than</w:t>
      </w:r>
      <w:r>
        <w:t xml:space="preserve"> </w:t>
      </w:r>
      <w:r>
        <w:rPr>
          <w:b/>
          <w:bCs/>
        </w:rPr>
        <w:t xml:space="preserve">18.4m coronary DES implants</w:t>
      </w:r>
      <w:r>
        <w:t xml:space="preserve"> </w:t>
      </w:r>
      <w:r>
        <w:t xml:space="preserve">have been performed historically. Boston Scientific’s AGENT drug-coated balloon has already been used in more than 275,000 patients worldwide.</w:t>
      </w:r>
    </w:p>
    <w:p>
      <w:pPr>
        <w:pStyle w:val="BodyText"/>
      </w:pPr>
      <w:r>
        <w:t xml:space="preserve">The competitive set is device-led: Abbott with XIENCE, Boston Scientific with SYNERGY and AGENT, Medtronic and other interventional-cardiology manufacturers. Abbott launched XIENCE Skypoint in India in March 2026. Boston Scientific’s Indian list price for Promus ELITE is around INR32,352, although realised hospital economics can differ materially from list pricing and regulated ceiling prices.</w:t>
      </w:r>
    </w:p>
    <w:p>
      <w:pPr>
        <w:pStyle w:val="BodyText"/>
      </w:pPr>
      <w:r>
        <w:rPr>
          <w:b/>
          <w:bCs/>
        </w:rPr>
        <w:t xml:space="preserve">Our market view:</w:t>
      </w:r>
      <w:r>
        <w:t xml:space="preserve"> </w:t>
      </w:r>
      <w:r>
        <w:t xml:space="preserve">DES is not an attractive Indian-pharma adjacency simply because it contains a drug. The moat sits in metallurgy, catheter delivery, coating consistency, procedural evidence and physician confidence. Indian pharmaceutical manufacturing capability does not naturally confer an advantage.</w:t>
      </w:r>
    </w:p>
    <w:p>
      <w:pPr>
        <w:pStyle w:val="BodyText"/>
      </w:pPr>
      <w:r>
        <w:t xml:space="preserve">Drug-coated balloons compete in selected lesions, particularly restenosis, because they deliver antiproliferative drug without leaving another permanent scaffold. They do not eliminate stents where mechanical support is necessary.</w:t>
      </w:r>
      <w:r>
        <w:t xml:space="preserve"> </w:t>
      </w:r>
      <w:r>
        <w:rPr>
          <w:b/>
          <w:bCs/>
        </w:rPr>
        <w:t xml:space="preserve">We therefore see DCB as an expansion of local-drug-delivery economics, not a wholesale replacement of DES.</w:t>
      </w:r>
    </w:p>
    <w:bookmarkStart w:id="20" w:name="X29f3a865829e79c03dd151d7a2a79f8934166ae"/>
    <w:p>
      <w:pPr>
        <w:pStyle w:val="Heading3"/>
      </w:pPr>
      <w:r>
        <w:t xml:space="preserve">EXHIBIT 3: DES CREATED VALUE BY HALVING THE NEED TO RETREAT THE STENTED LESION</w:t>
      </w:r>
    </w:p>
    <w:p>
      <w:pPr>
        <w:pStyle w:val="FirstParagraph"/>
      </w:pPr>
      <w:r>
        <w:rPr>
          <w:b/>
          <w:bCs/>
        </w:rPr>
        <w:t xml:space="preserve">Chart:</w:t>
      </w:r>
      <w:r>
        <w:t xml:space="preserve"> </w:t>
      </w:r>
      <w:r>
        <w:t xml:space="preserve">Relative-risk bar.</w:t>
      </w:r>
    </w:p>
    <w:p>
      <w:pPr>
        <w:pStyle w:val="BodyText"/>
      </w:pPr>
      <w:r>
        <w:rPr>
          <w:b/>
          <w:bCs/>
        </w:rPr>
        <w:t xml:space="preserve">X-axis:</w:t>
      </w:r>
      <w:r>
        <w:t xml:space="preserve"> </w:t>
      </w:r>
      <w:r>
        <w:t xml:space="preserve">DES vs BMS.</w:t>
      </w:r>
    </w:p>
    <w:p>
      <w:pPr>
        <w:pStyle w:val="BodyText"/>
      </w:pPr>
      <w:r>
        <w:rPr>
          <w:b/>
          <w:bCs/>
        </w:rPr>
        <w:t xml:space="preserve">Y-axis:</w:t>
      </w:r>
      <w:r>
        <w:t xml:space="preserve"> </w:t>
      </w:r>
      <w:r>
        <w:t xml:space="preserve">Relative risk of target-lesion revascularisation.</w:t>
      </w:r>
    </w:p>
    <w:p>
      <w:pPr>
        <w:pStyle w:val="BodyText"/>
      </w:pPr>
      <w:r>
        <w:rPr>
          <w:b/>
          <w:bCs/>
        </w:rPr>
        <w:t xml:space="preserve">Data:</w:t>
      </w:r>
      <w:r>
        <w:t xml:space="preserve"> </w:t>
      </w:r>
      <w:r>
        <w:t xml:space="preserve">NORSTENT HR 0.44 for DES versus BMS.</w:t>
      </w:r>
    </w:p>
    <w:p>
      <w:pPr>
        <w:pStyle w:val="BodyText"/>
      </w:pPr>
      <w:r>
        <w:t xml:space="preserve">Add secondary callout:</w:t>
      </w:r>
    </w:p>
    <w:p>
      <w:pPr>
        <w:pStyle w:val="Compact"/>
        <w:numPr>
          <w:ilvl w:val="0"/>
          <w:numId w:val="1003"/>
        </w:numPr>
      </w:pPr>
      <w:r>
        <w:t xml:space="preserve">no primary composite superiority for death/nonfatal spontaneous MI</w:t>
      </w:r>
    </w:p>
    <w:p>
      <w:pPr>
        <w:pStyle w:val="Compact"/>
        <w:numPr>
          <w:ilvl w:val="0"/>
          <w:numId w:val="1003"/>
        </w:numPr>
      </w:pPr>
      <w:r>
        <w:t xml:space="preserve">benefit concentrated in repeat treatment of the lesion</w:t>
      </w:r>
    </w:p>
    <w:p>
      <w:pPr>
        <w:pStyle w:val="FirstParagraph"/>
      </w:pPr>
      <w:r>
        <w:rPr>
          <w:b/>
          <w:bCs/>
        </w:rPr>
        <w:t xml:space="preserve">Source:</w:t>
      </w:r>
      <w:r>
        <w:t xml:space="preserve"> </w:t>
      </w:r>
      <w:r>
        <w:t xml:space="preserve">NORSTENT.</w:t>
      </w:r>
    </w:p>
    <w:p>
      <w:pPr>
        <w:pStyle w:val="BodyText"/>
      </w:pPr>
      <w:r>
        <w:rPr>
          <w:b/>
          <w:bCs/>
        </w:rPr>
        <w:t xml:space="preserve">What it proves:</w:t>
      </w:r>
      <w:r>
        <w:t xml:space="preserve"> </w:t>
      </w:r>
      <w:r>
        <w:t xml:space="preserve">the clinical value is specific and local.</w:t>
      </w:r>
    </w:p>
    <w:p>
      <w:pPr>
        <w:pStyle w:val="BodyText"/>
      </w:pPr>
      <w:r>
        <w:rPr>
          <w:b/>
          <w:bCs/>
        </w:rPr>
        <w:t xml:space="preserve">Investor takeaway:</w:t>
      </w:r>
      <w:r>
        <w:t xml:space="preserve"> </w:t>
      </w:r>
      <w:r>
        <w:t xml:space="preserve">a delivery technology can become standard of care by solving one expensive procedural failure mode.</w:t>
      </w:r>
    </w:p>
    <w:p>
      <w:r>
        <w:pict>
          <v:rect style="width:0;height:1.5pt" o:hralign="center" o:hrstd="t" o:hr="t"/>
        </w:pict>
      </w:r>
    </w:p>
    <w:bookmarkEnd w:id="20"/>
    <w:bookmarkEnd w:id="21"/>
    <w:bookmarkStart w:id="24" w:name="X312aa5f2497badfde685520f0e90b6f0762a892"/>
    <w:p>
      <w:pPr>
        <w:pStyle w:val="Heading1"/>
      </w:pPr>
      <w:r>
        <w:t xml:space="preserve">PLATFORM 2: INHALATION HAS THE BEST PROVEN COMPLEX-GENERIC MOAT FOR INDIAN PHARMA</w:t>
      </w:r>
    </w:p>
    <w:p>
      <w:pPr>
        <w:pStyle w:val="FirstParagraph"/>
      </w:pPr>
      <w:r>
        <w:t xml:space="preserve">Inhalation is the platform where we see the strongest listed-India read-through because the generic barrier is already commercially proven.</w:t>
      </w:r>
    </w:p>
    <w:p>
      <w:pPr>
        <w:pStyle w:val="BodyText"/>
      </w:pPr>
      <w:r>
        <w:t xml:space="preserve">An inhaler is not a container. It is part of dose formation. A DPI has to deaggregate powder into respirable particles when the patient inhales. A pMDI has to meter a repeatable liquid dose and generate an aerosol through a valve/actuator system. The airflow resistance of the DPI, particle engineering, formulation, metering, plume and patient manoeuvre jointly determine deposition.</w:t>
      </w:r>
    </w:p>
    <w:p>
      <w:pPr>
        <w:pStyle w:val="BodyText"/>
      </w:pPr>
      <w:r>
        <w:t xml:space="preserve">This matters because technique remains poor even after decades of inhaler use. A systematic review of more than 54,000 subjects found correct inhaler technique in only about</w:t>
      </w:r>
      <w:r>
        <w:t xml:space="preserve"> </w:t>
      </w:r>
      <w:r>
        <w:rPr>
          <w:b/>
          <w:bCs/>
        </w:rPr>
        <w:t xml:space="preserve">31%</w:t>
      </w:r>
      <w:r>
        <w:t xml:space="preserve"> </w:t>
      </w:r>
      <w:r>
        <w:t xml:space="preserve">of patients.</w:t>
      </w:r>
      <w:r>
        <w:t xml:space="preserve"> </w:t>
      </w:r>
      <w:r>
        <w:rPr>
          <w:b/>
          <w:bCs/>
        </w:rPr>
        <w:t xml:space="preserve">The central commercial point is not that one branded inhaler necessarily produces better RCT efficacy. It is that device errors can prevent the patient from receiving the dose that produced the RCT efficacy.</w:t>
      </w:r>
    </w:p>
    <w:p>
      <w:pPr>
        <w:pStyle w:val="BodyText"/>
      </w:pPr>
      <w:r>
        <w:t xml:space="preserve">GSK shows how powerful a common platform can become. Trelegy Ellipta generated</w:t>
      </w:r>
      <w:r>
        <w:t xml:space="preserve"> </w:t>
      </w:r>
      <w:r>
        <w:rPr>
          <w:b/>
          <w:bCs/>
        </w:rPr>
        <w:t xml:space="preserve">£3.0bn in 2025</w:t>
      </w:r>
      <w:r>
        <w:t xml:space="preserve">, up 13%. Ellipta also supports Breo/Relvar, Anoro, Incruse and Arnuity. The commercial asset is therefore not one molecule-device pair; it is a familiar device architecture that can support multiple combinations.</w:t>
      </w:r>
    </w:p>
    <w:p>
      <w:pPr>
        <w:pStyle w:val="BodyText"/>
      </w:pPr>
      <w:r>
        <w:t xml:space="preserve">Chiesi provides another useful scale benchmark. Its respiratory</w:t>
      </w:r>
      <w:r>
        <w:t xml:space="preserve"> </w:t>
      </w:r>
      <w:r>
        <w:t xml:space="preserve">“Air”</w:t>
      </w:r>
      <w:r>
        <w:t xml:space="preserve"> </w:t>
      </w:r>
      <w:r>
        <w:t xml:space="preserve">franchise generated</w:t>
      </w:r>
      <w:r>
        <w:t xml:space="preserve"> </w:t>
      </w:r>
      <w:r>
        <w:rPr>
          <w:b/>
          <w:bCs/>
        </w:rPr>
        <w:t xml:space="preserve">€1.8bn in 2024</w:t>
      </w:r>
      <w:r>
        <w:t xml:space="preserve">. Together, GSK and Chiesi alone demonstrate that inhaled drug-device franchises already represent multi-billion-dollar branded pharmaceutical pools.</w:t>
      </w:r>
    </w:p>
    <w:p>
      <w:pPr>
        <w:pStyle w:val="BodyText"/>
      </w:pPr>
      <w:r>
        <w:t xml:space="preserve">For generics, the barrier is more visible in development duration. Lupin’s tiotropium DPI became the first FDA-approved generic Spiriva HandiHaler and the first Indian-developed DPI approved for the US. The product had to reproduce drug delivery from a capsule-based inhaler, not simply systemic plasma exposure from a tablet. Lupin today reports more than 20 inhalation products in its pipeline.</w:t>
      </w:r>
    </w:p>
    <w:p>
      <w:pPr>
        <w:pStyle w:val="BodyText"/>
      </w:pPr>
      <w:r>
        <w:t xml:space="preserve">Cipla has similar proof in pMDIs. FDA approved its generic Proventil HFA, demonstrating regulated-market aerosol capability. Glenmark obtained FDA approval for the first generic Flovent HFA in March 2026.</w:t>
      </w:r>
      <w:r>
        <w:t xml:space="preserve"> </w:t>
      </w:r>
      <w:r>
        <w:rPr>
          <w:b/>
          <w:bCs/>
        </w:rPr>
        <w:t xml:space="preserve">The hierarchy in Indian respiratory is therefore not based on domestic prescription share alone; it is based on who has repeatedly cleared regulated-market device/formulation equivalence.</w:t>
      </w:r>
    </w:p>
    <w:p>
      <w:pPr>
        <w:pStyle w:val="BodyText"/>
      </w:pPr>
      <w:r>
        <w:t xml:space="preserve">We rank the Indian capabilities:</w:t>
      </w:r>
    </w:p>
    <w:p>
      <w:pPr>
        <w:pStyle w:val="BodyText"/>
      </w:pPr>
      <w:r>
        <w:rPr>
          <w:b/>
          <w:bCs/>
        </w:rPr>
        <w:t xml:space="preserve">1. Lupin:</w:t>
      </w:r>
      <w:r>
        <w:t xml:space="preserve"> </w:t>
      </w:r>
      <w:r>
        <w:t xml:space="preserve">best combination of regulated-market DPI proof, pipeline breadth and complex-product strategy among our preferred stocks.</w:t>
      </w:r>
    </w:p>
    <w:p>
      <w:pPr>
        <w:pStyle w:val="BodyText"/>
      </w:pPr>
      <w:r>
        <w:rPr>
          <w:b/>
          <w:bCs/>
        </w:rPr>
        <w:t xml:space="preserve">2. Cipla:</w:t>
      </w:r>
      <w:r>
        <w:t xml:space="preserve"> </w:t>
      </w:r>
      <w:r>
        <w:t xml:space="preserve">deepest long-duration respiratory heritage and meaningful US pMDI proof.</w:t>
      </w:r>
    </w:p>
    <w:p>
      <w:pPr>
        <w:pStyle w:val="BodyText"/>
      </w:pPr>
      <w:r>
        <w:rPr>
          <w:b/>
          <w:bCs/>
        </w:rPr>
        <w:t xml:space="preserve">3. Glenmark:</w:t>
      </w:r>
      <w:r>
        <w:t xml:space="preserve"> </w:t>
      </w:r>
      <w:r>
        <w:t xml:space="preserve">credible aerosol R&amp;D and an important 2026 US milestone with generic Flovent HFA.</w:t>
      </w:r>
    </w:p>
    <w:p>
      <w:pPr>
        <w:pStyle w:val="BodyText"/>
      </w:pPr>
      <w:r>
        <w:rPr>
          <w:b/>
          <w:bCs/>
        </w:rPr>
        <w:t xml:space="preserve">4. Zydus:</w:t>
      </w:r>
      <w:r>
        <w:t xml:space="preserve"> </w:t>
      </w:r>
      <w:r>
        <w:t xml:space="preserve">manufacturing capability exists, but we see less public regulated-market commercial evidence to put it in the first group.</w:t>
      </w:r>
    </w:p>
    <w:p>
      <w:pPr>
        <w:pStyle w:val="BodyText"/>
      </w:pPr>
      <w:r>
        <w:rPr>
          <w:b/>
          <w:bCs/>
        </w:rPr>
        <w:t xml:space="preserve">5. GSK Pharma India:</w:t>
      </w:r>
      <w:r>
        <w:t xml:space="preserve"> </w:t>
      </w:r>
      <w:r>
        <w:t xml:space="preserve">commercially benefits from parent products such as Trelegy, but global Ellipta device IP belongs to GSK plc, not the Indian listed subsidiary. GSK India itself identifies Trelegy as a growth brand.</w:t>
      </w:r>
    </w:p>
    <w:bookmarkStart w:id="22" w:name="X695116e5775beae33e5a7d671cc96739d76c098"/>
    <w:p>
      <w:pPr>
        <w:pStyle w:val="Heading3"/>
      </w:pPr>
      <w:r>
        <w:t xml:space="preserve">EXHIBIT 4: REGULATED-MARKET APPROVALS, NOT INDIA PRESCRIPTION SHARE, IDENTIFY THE STRONGEST RESPIRATORY DEVICE CAPABILITY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US device/formulation proof</w:t>
            </w:r>
          </w:p>
        </w:tc>
        <w:tc>
          <w:tcPr/>
          <w:p>
            <w:pPr>
              <w:pStyle w:val="Compact"/>
            </w:pPr>
            <w:r>
              <w:t xml:space="preserve">Platform</w:t>
            </w:r>
          </w:p>
        </w:tc>
        <w:tc>
          <w:tcPr/>
          <w:p>
            <w:pPr>
              <w:pStyle w:val="Compact"/>
            </w:pPr>
            <w:r>
              <w:t xml:space="preserve">Assessment</w:t>
            </w:r>
          </w:p>
        </w:tc>
      </w:tr>
      <w:tr>
        <w:tc>
          <w:tcPr/>
          <w:p>
            <w:pPr>
              <w:pStyle w:val="Compact"/>
            </w:pPr>
            <w:r>
              <w:t xml:space="preserve">Lupin</w:t>
            </w:r>
          </w:p>
        </w:tc>
        <w:tc>
          <w:tcPr/>
          <w:p>
            <w:pPr>
              <w:pStyle w:val="Compact"/>
            </w:pPr>
            <w:r>
              <w:t xml:space="preserve">Generic Spiriva HandiHaler</w:t>
            </w:r>
          </w:p>
        </w:tc>
        <w:tc>
          <w:tcPr/>
          <w:p>
            <w:pPr>
              <w:pStyle w:val="Compact"/>
            </w:pPr>
            <w:r>
              <w:t xml:space="preserve">DPI</w:t>
            </w:r>
          </w:p>
        </w:tc>
        <w:tc>
          <w:tcPr/>
          <w:p>
            <w:pPr>
              <w:pStyle w:val="Compact"/>
            </w:pPr>
            <w:r>
              <w:t xml:space="preserve">High</w:t>
            </w:r>
          </w:p>
        </w:tc>
      </w:tr>
      <w:tr>
        <w:tc>
          <w:tcPr/>
          <w:p>
            <w:pPr>
              <w:pStyle w:val="Compact"/>
            </w:pPr>
            <w:r>
              <w:t xml:space="preserve">Cipla</w:t>
            </w:r>
          </w:p>
        </w:tc>
        <w:tc>
          <w:tcPr/>
          <w:p>
            <w:pPr>
              <w:pStyle w:val="Compact"/>
            </w:pPr>
            <w:r>
              <w:t xml:space="preserve">Generic Proventil HFA</w:t>
            </w:r>
          </w:p>
        </w:tc>
        <w:tc>
          <w:tcPr/>
          <w:p>
            <w:pPr>
              <w:pStyle w:val="Compact"/>
            </w:pPr>
            <w:r>
              <w:t xml:space="preserve">pMDI</w:t>
            </w:r>
          </w:p>
        </w:tc>
        <w:tc>
          <w:tcPr/>
          <w:p>
            <w:pPr>
              <w:pStyle w:val="Compact"/>
            </w:pPr>
            <w:r>
              <w:t xml:space="preserve">High</w:t>
            </w:r>
          </w:p>
        </w:tc>
      </w:tr>
      <w:tr>
        <w:tc>
          <w:tcPr/>
          <w:p>
            <w:pPr>
              <w:pStyle w:val="Compact"/>
            </w:pPr>
            <w:r>
              <w:t xml:space="preserve">Glenmark</w:t>
            </w:r>
          </w:p>
        </w:tc>
        <w:tc>
          <w:tcPr/>
          <w:p>
            <w:pPr>
              <w:pStyle w:val="Compact"/>
            </w:pPr>
            <w:r>
              <w:t xml:space="preserve">Generic Flovent HFA</w:t>
            </w:r>
          </w:p>
        </w:tc>
        <w:tc>
          <w:tcPr/>
          <w:p>
            <w:pPr>
              <w:pStyle w:val="Compact"/>
            </w:pPr>
            <w:r>
              <w:t xml:space="preserve">pMDI</w:t>
            </w:r>
          </w:p>
        </w:tc>
        <w:tc>
          <w:tcPr/>
          <w:p>
            <w:pPr>
              <w:pStyle w:val="Compact"/>
            </w:pPr>
            <w:r>
              <w:t xml:space="preserve">High</w:t>
            </w:r>
          </w:p>
        </w:tc>
      </w:tr>
      <w:tr>
        <w:tc>
          <w:tcPr/>
          <w:p>
            <w:pPr>
              <w:pStyle w:val="Compact"/>
            </w:pPr>
            <w:r>
              <w:t xml:space="preserve">Zydus</w:t>
            </w:r>
          </w:p>
        </w:tc>
        <w:tc>
          <w:tcPr/>
          <w:p>
            <w:pPr>
              <w:pStyle w:val="Compact"/>
            </w:pPr>
            <w:r>
              <w:t xml:space="preserve">Manufacturing/R&amp;D capability</w:t>
            </w:r>
          </w:p>
        </w:tc>
        <w:tc>
          <w:tcPr/>
          <w:p>
            <w:pPr>
              <w:pStyle w:val="Compact"/>
            </w:pPr>
            <w:r>
              <w:t xml:space="preserve">Multiple</w:t>
            </w:r>
          </w:p>
        </w:tc>
        <w:tc>
          <w:tcPr/>
          <w:p>
            <w:pPr>
              <w:pStyle w:val="Compact"/>
            </w:pPr>
            <w:r>
              <w:t xml:space="preserve">Medium</w:t>
            </w:r>
          </w:p>
        </w:tc>
      </w:tr>
      <w:tr>
        <w:tc>
          <w:tcPr/>
          <w:p>
            <w:pPr>
              <w:pStyle w:val="Compact"/>
            </w:pPr>
            <w:r>
              <w:t xml:space="preserve">GSK India</w:t>
            </w:r>
          </w:p>
        </w:tc>
        <w:tc>
          <w:tcPr/>
          <w:p>
            <w:pPr>
              <w:pStyle w:val="Compact"/>
            </w:pPr>
            <w:r>
              <w:t xml:space="preserve">Sells parent products</w:t>
            </w:r>
          </w:p>
        </w:tc>
        <w:tc>
          <w:tcPr/>
          <w:p>
            <w:pPr>
              <w:pStyle w:val="Compact"/>
            </w:pPr>
            <w:r>
              <w:t xml:space="preserve">Ellipta</w:t>
            </w:r>
          </w:p>
        </w:tc>
        <w:tc>
          <w:tcPr/>
          <w:p>
            <w:pPr>
              <w:pStyle w:val="Compact"/>
            </w:pPr>
            <w:r>
              <w:t xml:space="preserve">Commercialisation, not platform ownership</w:t>
            </w:r>
          </w:p>
        </w:tc>
      </w:tr>
    </w:tbl>
    <w:p>
      <w:pPr>
        <w:pStyle w:val="BodyText"/>
      </w:pPr>
      <w:r>
        <w:rPr>
          <w:b/>
          <w:bCs/>
        </w:rPr>
        <w:t xml:space="preserve">Investor takeaway:</w:t>
      </w:r>
      <w:r>
        <w:t xml:space="preserve"> </w:t>
      </w:r>
      <w:r>
        <w:t xml:space="preserve">inhalation is the clearest area where Indian generic R&amp;D can create a defensible regulated-market revenue pool.</w:t>
      </w:r>
    </w:p>
    <w:bookmarkEnd w:id="22"/>
    <w:bookmarkStart w:id="23" w:name="X4c86da1652f801fd36adacea4d4d95e83a2ddf6"/>
    <w:p>
      <w:pPr>
        <w:pStyle w:val="Heading3"/>
      </w:pPr>
      <w:r>
        <w:t xml:space="preserve">EXHIBIT 5: GSK HAS TURNED ONE DEVICE ARCHITECTURE INTO MULTIPLE BILLION-DOLLAR DRUG FRANCHISES</w:t>
      </w:r>
    </w:p>
    <w:p>
      <w:pPr>
        <w:pStyle w:val="FirstParagraph"/>
      </w:pPr>
      <w:r>
        <w:rPr>
          <w:b/>
          <w:bCs/>
        </w:rPr>
        <w:t xml:space="preserve">Chart:</w:t>
      </w:r>
      <w:r>
        <w:t xml:space="preserve"> </w:t>
      </w:r>
      <w:r>
        <w:t xml:space="preserve">Ellipta franchise map.</w:t>
      </w:r>
    </w:p>
    <w:p>
      <w:pPr>
        <w:pStyle w:val="BodyText"/>
      </w:pPr>
      <w:r>
        <w:t xml:space="preserve">Centre: ELLIPTA DEVICE.</w:t>
      </w:r>
    </w:p>
    <w:p>
      <w:pPr>
        <w:pStyle w:val="BodyText"/>
      </w:pPr>
      <w:r>
        <w:t xml:space="preserve">Outer boxes:</w:t>
      </w:r>
    </w:p>
    <w:p>
      <w:pPr>
        <w:pStyle w:val="Compact"/>
        <w:numPr>
          <w:ilvl w:val="0"/>
          <w:numId w:val="1004"/>
        </w:numPr>
      </w:pPr>
      <w:r>
        <w:t xml:space="preserve">Trelegy</w:t>
      </w:r>
    </w:p>
    <w:p>
      <w:pPr>
        <w:pStyle w:val="Compact"/>
        <w:numPr>
          <w:ilvl w:val="0"/>
          <w:numId w:val="1004"/>
        </w:numPr>
      </w:pPr>
      <w:r>
        <w:t xml:space="preserve">Breo/Relvar</w:t>
      </w:r>
    </w:p>
    <w:p>
      <w:pPr>
        <w:pStyle w:val="Compact"/>
        <w:numPr>
          <w:ilvl w:val="0"/>
          <w:numId w:val="1004"/>
        </w:numPr>
      </w:pPr>
      <w:r>
        <w:t xml:space="preserve">Anoro</w:t>
      </w:r>
    </w:p>
    <w:p>
      <w:pPr>
        <w:pStyle w:val="Compact"/>
        <w:numPr>
          <w:ilvl w:val="0"/>
          <w:numId w:val="1004"/>
        </w:numPr>
      </w:pPr>
      <w:r>
        <w:t xml:space="preserve">Incruse</w:t>
      </w:r>
    </w:p>
    <w:p>
      <w:pPr>
        <w:pStyle w:val="Compact"/>
        <w:numPr>
          <w:ilvl w:val="0"/>
          <w:numId w:val="1004"/>
        </w:numPr>
      </w:pPr>
      <w:r>
        <w:t xml:space="preserve">Arnuity</w:t>
      </w:r>
    </w:p>
    <w:p>
      <w:pPr>
        <w:pStyle w:val="FirstParagraph"/>
      </w:pPr>
      <w:r>
        <w:t xml:space="preserve">Trelegy callout: £3.0bn 2025 sales.</w:t>
      </w:r>
    </w:p>
    <w:p>
      <w:pPr>
        <w:pStyle w:val="BodyText"/>
      </w:pPr>
      <w:r>
        <w:rPr>
          <w:b/>
          <w:bCs/>
        </w:rPr>
        <w:t xml:space="preserve">Source:</w:t>
      </w:r>
      <w:r>
        <w:t xml:space="preserve"> </w:t>
      </w:r>
      <w:r>
        <w:t xml:space="preserve">GSK.</w:t>
      </w:r>
    </w:p>
    <w:p>
      <w:pPr>
        <w:pStyle w:val="BodyText"/>
      </w:pPr>
      <w:r>
        <w:rPr>
          <w:b/>
          <w:bCs/>
        </w:rPr>
        <w:t xml:space="preserve">What it proves:</w:t>
      </w:r>
      <w:r>
        <w:t xml:space="preserve"> </w:t>
      </w:r>
      <w:r>
        <w:t xml:space="preserve">reusable platform architecture can reduce the commercial need to retrain patients each time the molecule combination changes.</w:t>
      </w:r>
    </w:p>
    <w:p>
      <w:r>
        <w:pict>
          <v:rect style="width:0;height:1.5pt" o:hralign="center" o:hrstd="t" o:hr="t"/>
        </w:pict>
      </w:r>
    </w:p>
    <w:bookmarkEnd w:id="23"/>
    <w:bookmarkEnd w:id="24"/>
    <w:bookmarkStart w:id="26" w:name="Xf52e2b9b59517deb3e86e7422a4919110a20faa"/>
    <w:p>
      <w:pPr>
        <w:pStyle w:val="Heading1"/>
      </w:pPr>
      <w:r>
        <w:t xml:space="preserve">PLATFORM 3: TRANSDERMAL IS A GOOD FORMULATION MOAT BUT A SMALLER MOLECULE UNIVERSE</w:t>
      </w:r>
    </w:p>
    <w:p>
      <w:pPr>
        <w:pStyle w:val="FirstParagraph"/>
      </w:pPr>
      <w:r>
        <w:t xml:space="preserve">Transdermal delivery is attractive precisely because it is selective. If almost every molecule crossed skin easily, the technology would have little barrier.</w:t>
      </w:r>
    </w:p>
    <w:p>
      <w:pPr>
        <w:pStyle w:val="BodyText"/>
      </w:pPr>
      <w:r>
        <w:t xml:space="preserve">The outer skin is an efficient barrier. Passive patches therefore favour relatively potent molecules that can generate adequate flux through a limited surface area. This is why successful categories cluster around nicotine, hormones, selected analgesics and highly potent CNS drugs rather than antibiotics or high-dose metabolic drugs.</w:t>
      </w:r>
    </w:p>
    <w:p>
      <w:pPr>
        <w:pStyle w:val="BodyText"/>
      </w:pPr>
      <w:r>
        <w:t xml:space="preserve">The investment value comes from three characteristics.</w:t>
      </w:r>
    </w:p>
    <w:p>
      <w:pPr>
        <w:pStyle w:val="BodyText"/>
      </w:pPr>
      <w:r>
        <w:t xml:space="preserve">First, a patch can</w:t>
      </w:r>
      <w:r>
        <w:t xml:space="preserve"> </w:t>
      </w:r>
      <w:r>
        <w:rPr>
          <w:b/>
          <w:bCs/>
        </w:rPr>
        <w:t xml:space="preserve">avoid first-pass metabolism</w:t>
      </w:r>
      <w:r>
        <w:t xml:space="preserve"> </w:t>
      </w:r>
      <w:r>
        <w:t xml:space="preserve">and gastrointestinal exposure.</w:t>
      </w:r>
    </w:p>
    <w:p>
      <w:pPr>
        <w:pStyle w:val="BodyText"/>
      </w:pPr>
      <w:r>
        <w:t xml:space="preserve">Second, it can</w:t>
      </w:r>
      <w:r>
        <w:t xml:space="preserve"> </w:t>
      </w:r>
      <w:r>
        <w:rPr>
          <w:b/>
          <w:bCs/>
        </w:rPr>
        <w:t xml:space="preserve">flatten concentration over time</w:t>
      </w:r>
      <w:r>
        <w:t xml:space="preserve">, replacing a larger oral peak and trough with a slower input.</w:t>
      </w:r>
    </w:p>
    <w:p>
      <w:pPr>
        <w:pStyle w:val="BodyText"/>
      </w:pPr>
      <w:r>
        <w:t xml:space="preserve">Third, it can</w:t>
      </w:r>
      <w:r>
        <w:t xml:space="preserve"> </w:t>
      </w:r>
      <w:r>
        <w:rPr>
          <w:b/>
          <w:bCs/>
        </w:rPr>
        <w:t xml:space="preserve">extend dosing frequency</w:t>
      </w:r>
      <w:r>
        <w:t xml:space="preserve"> </w:t>
      </w:r>
      <w:r>
        <w:t xml:space="preserve">without implanting a device.</w:t>
      </w:r>
    </w:p>
    <w:p>
      <w:pPr>
        <w:pStyle w:val="BodyText"/>
      </w:pPr>
      <w:r>
        <w:t xml:space="preserve">The limitation is equally important: a patch cannot deliver an arbitrary dose. Large hydrophilic molecules and peptides generally require active techniques such as microneedles, iontophoresis or other barrier-disruption approaches. These can expand the technology, but each additional engineering step weakens the original simplicity advantage.</w:t>
      </w:r>
    </w:p>
    <w:p>
      <w:pPr>
        <w:pStyle w:val="BodyText"/>
      </w:pPr>
      <w:r>
        <w:t xml:space="preserve">For Indian pharma,</w:t>
      </w:r>
      <w:r>
        <w:t xml:space="preserve"> </w:t>
      </w:r>
      <w:r>
        <w:rPr>
          <w:b/>
          <w:bCs/>
        </w:rPr>
        <w:t xml:space="preserve">Zydus is the clearest listed capability</w:t>
      </w:r>
      <w:r>
        <w:t xml:space="preserve">. We see regulated-market transdermal development and manufacturing as more relevant than the size of its domestic patch catalogue because FDA-approved patches require formulation, adhesive, release, stability and manufacturing control.</w:t>
      </w:r>
    </w:p>
    <w:p>
      <w:pPr>
        <w:pStyle w:val="BodyText"/>
      </w:pPr>
      <w:r>
        <w:t xml:space="preserve">We specifically tested the hypothesis that Torrent is a transdermal leader. We do not find sufficient current evidence to support it. Torrent’s current R&amp;D disclosures emphasise parenteral, long-acting injectable, ophthalmic and nasal platforms. Historical scientific work is not enough for us to classify a current commercial transdermal franchise.</w:t>
      </w:r>
      <w:r>
        <w:t xml:space="preserve"> </w:t>
      </w:r>
      <w:r>
        <w:rPr>
          <w:b/>
          <w:bCs/>
        </w:rPr>
        <w:t xml:space="preserve">We therefore give Torrent no thematic premium for patches today.</w:t>
      </w:r>
    </w:p>
    <w:bookmarkStart w:id="25" w:name="X9ed4fdde908d74093ca8a10c34746fe45112aa7"/>
    <w:p>
      <w:pPr>
        <w:pStyle w:val="Heading3"/>
      </w:pPr>
      <w:r>
        <w:t xml:space="preserve">EXHIBIT 6: THE SKIN BARRIER CREATES THE TRANSDERMAL MOAT AND ALSO CAPS THE ADDRESSABLE MOLECULE SET</w:t>
      </w:r>
    </w:p>
    <w:p>
      <w:pPr>
        <w:pStyle w:val="FirstParagraph"/>
      </w:pPr>
      <w:r>
        <w:rPr>
          <w:b/>
          <w:bCs/>
        </w:rPr>
        <w:t xml:space="preserve">Chart:</w:t>
      </w:r>
      <w:r>
        <w:t xml:space="preserve"> </w:t>
      </w:r>
      <w:r>
        <w:t xml:space="preserve">Molecule-selection funnel.</w:t>
      </w:r>
    </w:p>
    <w:p>
      <w:pPr>
        <w:pStyle w:val="BodyText"/>
      </w:pPr>
      <w:r>
        <w:t xml:space="preserve">100 theoretical molecules</w:t>
      </w:r>
      <w:r>
        <w:br/>
      </w:r>
      <w:r>
        <w:t xml:space="preserve">→ remove high-dose molecules</w:t>
      </w:r>
      <w:r>
        <w:br/>
      </w:r>
      <w:r>
        <w:t xml:space="preserve">→ remove molecules with poor skin permeability</w:t>
      </w:r>
      <w:r>
        <w:br/>
      </w:r>
      <w:r>
        <w:t xml:space="preserve">→ remove molecules with inadequate potency/stability</w:t>
      </w:r>
      <w:r>
        <w:br/>
      </w:r>
      <w:r>
        <w:t xml:space="preserve">→ smaller passive-patch candidate universe</w:t>
      </w:r>
    </w:p>
    <w:p>
      <w:pPr>
        <w:pStyle w:val="BodyText"/>
      </w:pPr>
      <w:r>
        <w:t xml:space="preserve">Beside the funnel show:</w:t>
      </w:r>
    </w:p>
    <w:p>
      <w:pPr>
        <w:pStyle w:val="Compact"/>
        <w:numPr>
          <w:ilvl w:val="0"/>
          <w:numId w:val="1005"/>
        </w:numPr>
      </w:pPr>
      <w:r>
        <w:t xml:space="preserve">active microneedle/iontophoresis technologies can reopen part of the excluded pool</w:t>
      </w:r>
    </w:p>
    <w:p>
      <w:pPr>
        <w:pStyle w:val="Compact"/>
        <w:numPr>
          <w:ilvl w:val="0"/>
          <w:numId w:val="1005"/>
        </w:numPr>
      </w:pPr>
      <w:r>
        <w:t xml:space="preserve">additional technology increases manufacturing and regulatory complexity</w:t>
      </w:r>
    </w:p>
    <w:p>
      <w:pPr>
        <w:pStyle w:val="FirstParagraph"/>
      </w:pPr>
      <w:r>
        <w:rPr>
          <w:b/>
          <w:bCs/>
        </w:rPr>
        <w:t xml:space="preserve">Investor takeaway:</w:t>
      </w:r>
      <w:r>
        <w:t xml:space="preserve"> </w:t>
      </w:r>
      <w:r>
        <w:t xml:space="preserve">transdermal should not be valued as a universal alternative to injection. Its barrier is attractive because the candidate molecule pool is narrow.</w:t>
      </w:r>
    </w:p>
    <w:p>
      <w:r>
        <w:pict>
          <v:rect style="width:0;height:1.5pt" o:hralign="center" o:hrstd="t" o:hr="t"/>
        </w:pict>
      </w:r>
    </w:p>
    <w:bookmarkEnd w:id="25"/>
    <w:bookmarkEnd w:id="26"/>
    <w:bookmarkStart w:id="29" w:name="X5dc8b574a1d7514494a957a4cf6b63fc4d6b050"/>
    <w:p>
      <w:pPr>
        <w:pStyle w:val="Heading1"/>
      </w:pPr>
      <w:r>
        <w:t xml:space="preserve">PLATFORM 4: NEXPLANON SHOWS THE HIGHEST-VALUE VERSION OF</w:t>
      </w:r>
      <w:r>
        <w:t xml:space="preserve"> </w:t>
      </w:r>
      <w:r>
        <w:t xml:space="preserve">“ADHERENCE TECHNOLOGY”</w:t>
      </w:r>
    </w:p>
    <w:p>
      <w:pPr>
        <w:pStyle w:val="FirstParagraph"/>
      </w:pPr>
      <w:r>
        <w:t xml:space="preserve">A contraceptive implant does not win because etonogestrel is a new molecule. It wins because it removes approximately 1,800 daily dosing decisions over five years.</w:t>
      </w:r>
    </w:p>
    <w:p>
      <w:pPr>
        <w:pStyle w:val="BodyText"/>
      </w:pPr>
      <w:r>
        <w:t xml:space="preserve">That changes typical-use efficacy dramatically. The important comparison is therefore not</w:t>
      </w:r>
      <w:r>
        <w:t xml:space="preserve"> </w:t>
      </w:r>
      <w:r>
        <w:t xml:space="preserve">“implant hormone versus pill hormone”</w:t>
      </w:r>
      <w:r>
        <w:t xml:space="preserve">. It is</w:t>
      </w:r>
      <w:r>
        <w:t xml:space="preserve"> </w:t>
      </w:r>
      <w:r>
        <w:rPr>
          <w:b/>
          <w:bCs/>
        </w:rPr>
        <w:t xml:space="preserve">procedure once versus behaviour every day</w:t>
      </w:r>
      <w:r>
        <w:t xml:space="preserve">.</w:t>
      </w:r>
    </w:p>
    <w:p>
      <w:pPr>
        <w:pStyle w:val="BodyText"/>
      </w:pPr>
      <w:r>
        <w:t xml:space="preserve">Nexplanon received FDA approval in January 2026 for use up to</w:t>
      </w:r>
      <w:r>
        <w:t xml:space="preserve"> </w:t>
      </w:r>
      <w:r>
        <w:rPr>
          <w:b/>
          <w:bCs/>
        </w:rPr>
        <w:t xml:space="preserve">five years</w:t>
      </w:r>
      <w:r>
        <w:t xml:space="preserve">, extended from three. No pregnancies were reported during years four and five of the extension study.</w:t>
      </w:r>
    </w:p>
    <w:p>
      <w:pPr>
        <w:pStyle w:val="BodyText"/>
      </w:pPr>
      <w:r>
        <w:t xml:space="preserve">The commercial franchise is already large: Nexplanon/Implanon NXT generated</w:t>
      </w:r>
      <w:r>
        <w:t xml:space="preserve"> </w:t>
      </w:r>
      <w:r>
        <w:rPr>
          <w:b/>
          <w:bCs/>
        </w:rPr>
        <w:t xml:space="preserve">US$921m in 2025</w:t>
      </w:r>
      <w:r>
        <w:t xml:space="preserve">, of which US$610m came from the US and US$311m internationally. It is one of the world’s clearest single-product drug-device franchises.</w:t>
      </w:r>
    </w:p>
    <w:p>
      <w:pPr>
        <w:pStyle w:val="BodyText"/>
      </w:pPr>
      <w:r>
        <w:t xml:space="preserve">Yet the five-year label exposes an unusually important investor contradiction. In Q1 2026, Nexplanon sales fell</w:t>
      </w:r>
      <w:r>
        <w:t xml:space="preserve"> </w:t>
      </w:r>
      <w:r>
        <w:rPr>
          <w:b/>
          <w:bCs/>
        </w:rPr>
        <w:t xml:space="preserve">21% ex-FX</w:t>
      </w:r>
      <w:r>
        <w:t xml:space="preserve">, with US sales down 28%; Organon explicitly cited delayed reinsertion following the longer five-year label as one driver.</w:t>
      </w:r>
      <w:r>
        <w:t xml:space="preserve"> </w:t>
      </w:r>
      <w:r>
        <w:rPr>
          <w:b/>
          <w:bCs/>
        </w:rPr>
        <w:t xml:space="preserve">Making the device clinically better lengthened the replacement cycle and temporarily reduced revenue.</w:t>
      </w:r>
    </w:p>
    <w:p>
      <w:pPr>
        <w:pStyle w:val="BodyText"/>
      </w:pPr>
      <w:r>
        <w:t xml:space="preserve">That is exactly why device analysis cannot stop at patient convenience. Investors need to ask whether longer duration increases penetration enough to compensate for fewer replacement units.</w:t>
      </w:r>
    </w:p>
    <w:p>
      <w:pPr>
        <w:pStyle w:val="BodyText"/>
      </w:pPr>
      <w:r>
        <w:t xml:space="preserve">Our India view is cautious. India’s public contraceptive system is only beginning to roll out single-rod implants in selected geographies. UNFPA states that India is introducing implants alongside DMPA-SC, with rollout work in Rajasthan and Odisha. This is early infrastructure creation, not evidence of a mature commercial implant market.</w:t>
      </w:r>
    </w:p>
    <w:p>
      <w:pPr>
        <w:pStyle w:val="BodyText"/>
      </w:pPr>
      <w:r>
        <w:t xml:space="preserve">We would therefore</w:t>
      </w:r>
      <w:r>
        <w:t xml:space="preserve"> </w:t>
      </w:r>
      <w:r>
        <w:rPr>
          <w:b/>
          <w:bCs/>
        </w:rPr>
        <w:t xml:space="preserve">not</w:t>
      </w:r>
      <w:r>
        <w:t xml:space="preserve"> </w:t>
      </w:r>
      <w:r>
        <w:t xml:space="preserve">assign a large near-term India Nexplanon TAM simply by multiplying reproductive-age women by US pricing. Physician training, public procurement, insertion/removal capacity, method preference and reimbursement determine adoption.</w:t>
      </w:r>
    </w:p>
    <w:p>
      <w:pPr>
        <w:pStyle w:val="BodyText"/>
      </w:pPr>
      <w:r>
        <w:t xml:space="preserve">The correct India model is:</w:t>
      </w:r>
    </w:p>
    <w:p>
      <w:pPr>
        <w:pStyle w:val="BodyText"/>
      </w:pPr>
      <w:r>
        <w:rPr>
          <w:b/>
          <w:bCs/>
        </w:rPr>
        <w:t xml:space="preserve">Eligible women</w:t>
      </w:r>
      <w:r>
        <w:br/>
      </w:r>
      <w:r>
        <w:rPr>
          <w:b/>
          <w:bCs/>
        </w:rPr>
        <w:t xml:space="preserve">× contraceptive adoption</w:t>
      </w:r>
      <w:r>
        <w:br/>
      </w:r>
      <w:r>
        <w:rPr>
          <w:b/>
          <w:bCs/>
        </w:rPr>
        <w:t xml:space="preserve">× reversible-method share</w:t>
      </w:r>
      <w:r>
        <w:br/>
      </w:r>
      <w:r>
        <w:rPr>
          <w:b/>
          <w:bCs/>
        </w:rPr>
        <w:t xml:space="preserve">× implant share</w:t>
      </w:r>
      <w:r>
        <w:br/>
      </w:r>
      <w:r>
        <w:rPr>
          <w:b/>
          <w:bCs/>
        </w:rPr>
        <w:t xml:space="preserve">× annualised device value</w:t>
      </w:r>
    </w:p>
    <w:p>
      <w:pPr>
        <w:pStyle w:val="BodyText"/>
      </w:pPr>
      <w:r>
        <w:t xml:space="preserve">The largest uncertainty is implant share, not population.</w:t>
      </w:r>
    </w:p>
    <w:bookmarkStart w:id="27" w:name="Xcd155644819bdd6e38a412661aca2b5e043b28c"/>
    <w:p>
      <w:pPr>
        <w:pStyle w:val="Heading3"/>
      </w:pPr>
      <w:r>
        <w:t xml:space="preserve">EXHIBIT 7: NEXPLANON IS A US$0.9BN FRANCHISE BUILT AROUND REMOVING DAILY BEHAVIOUR</w:t>
      </w:r>
    </w:p>
    <w:p>
      <w:pPr>
        <w:pStyle w:val="FirstParagraph"/>
      </w:pPr>
      <w:r>
        <w:rPr>
          <w:b/>
          <w:bCs/>
        </w:rPr>
        <w:t xml:space="preserve">Chart:</w:t>
      </w:r>
      <w:r>
        <w:t xml:space="preserve"> </w:t>
      </w:r>
      <w:r>
        <w:t xml:space="preserve">Nexplanon sales 2024 versus 2025.</w:t>
      </w:r>
    </w:p>
    <w:p>
      <w:pPr>
        <w:pStyle w:val="BodyText"/>
      </w:pPr>
      <w:r>
        <w:t xml:space="preserve">2024: US$963m</w:t>
      </w:r>
      <w:r>
        <w:br/>
      </w:r>
      <w:r>
        <w:t xml:space="preserve">2025: US$921m</w:t>
      </w:r>
    </w:p>
    <w:p>
      <w:pPr>
        <w:pStyle w:val="BodyText"/>
      </w:pPr>
      <w:r>
        <w:t xml:space="preserve">Add callout:</w:t>
      </w:r>
      <w:r>
        <w:t xml:space="preserve"> </w:t>
      </w:r>
      <w:r>
        <w:rPr>
          <w:b/>
          <w:bCs/>
        </w:rPr>
        <w:t xml:space="preserve">2026 label extended from 3 to 5 years.</w:t>
      </w:r>
    </w:p>
    <w:p>
      <w:pPr>
        <w:pStyle w:val="BodyText"/>
      </w:pPr>
      <w:r>
        <w:t xml:space="preserve">Second callout:</w:t>
      </w:r>
      <w:r>
        <w:t xml:space="preserve"> </w:t>
      </w:r>
      <w:r>
        <w:rPr>
          <w:b/>
          <w:bCs/>
        </w:rPr>
        <w:t xml:space="preserve">Q1 2026 sales -21% ex-FX; longer replacement cycle contributed to US weakness.</w:t>
      </w:r>
    </w:p>
    <w:p>
      <w:pPr>
        <w:pStyle w:val="BodyText"/>
      </w:pPr>
      <w:r>
        <w:rPr>
          <w:b/>
          <w:bCs/>
        </w:rPr>
        <w:t xml:space="preserve">Source:</w:t>
      </w:r>
      <w:r>
        <w:t xml:space="preserve"> </w:t>
      </w:r>
      <w:r>
        <w:t xml:space="preserve">Organon.</w:t>
      </w:r>
    </w:p>
    <w:p>
      <w:pPr>
        <w:pStyle w:val="BodyText"/>
      </w:pPr>
      <w:r>
        <w:rPr>
          <w:b/>
          <w:bCs/>
        </w:rPr>
        <w:t xml:space="preserve">Investor takeaway:</w:t>
      </w:r>
      <w:r>
        <w:t xml:space="preserve"> </w:t>
      </w:r>
      <w:r>
        <w:t xml:space="preserve">duration creates the clinical moat but can reduce unit replacement frequency.</w:t>
      </w:r>
    </w:p>
    <w:bookmarkEnd w:id="27"/>
    <w:bookmarkStart w:id="28" w:name="Xf7a4a402bd9f8467b236ef7cadb2a7f0642fe19"/>
    <w:p>
      <w:pPr>
        <w:pStyle w:val="Heading3"/>
      </w:pPr>
      <w:r>
        <w:t xml:space="preserve">EXHIBIT 8: INDIA’S LARC OPPORTUNITY IS AN INFRASTRUCTURE PROBLEM BEFORE IT IS A PRODUCT PROBLEM</w:t>
      </w:r>
    </w:p>
    <w:p>
      <w:pPr>
        <w:pStyle w:val="FirstParagraph"/>
      </w:pPr>
      <w:r>
        <w:rPr>
          <w:b/>
          <w:bCs/>
        </w:rPr>
        <w:t xml:space="preserve">Chart:</w:t>
      </w:r>
      <w:r>
        <w:t xml:space="preserve"> </w:t>
      </w:r>
      <w:r>
        <w:t xml:space="preserve">Adoption funnel.</w:t>
      </w:r>
    </w:p>
    <w:p>
      <w:pPr>
        <w:pStyle w:val="BodyText"/>
      </w:pPr>
      <w:r>
        <w:t xml:space="preserve">Women requiring contraception</w:t>
      </w:r>
      <w:r>
        <w:br/>
      </w:r>
      <w:r>
        <w:t xml:space="preserve">→ reversible contraception</w:t>
      </w:r>
      <w:r>
        <w:br/>
      </w:r>
      <w:r>
        <w:t xml:space="preserve">→ access to trained insertion sites</w:t>
      </w:r>
      <w:r>
        <w:br/>
      </w:r>
      <w:r>
        <w:t xml:space="preserve">→ counselling/acceptance</w:t>
      </w:r>
      <w:r>
        <w:br/>
      </w:r>
      <w:r>
        <w:t xml:space="preserve">→ implant adoption</w:t>
      </w:r>
    </w:p>
    <w:p>
      <w:pPr>
        <w:pStyle w:val="BodyText"/>
      </w:pPr>
      <w:r>
        <w:t xml:space="preserve">Underneath show current evidence:</w:t>
      </w:r>
    </w:p>
    <w:p>
      <w:pPr>
        <w:pStyle w:val="Compact"/>
        <w:numPr>
          <w:ilvl w:val="0"/>
          <w:numId w:val="1006"/>
        </w:numPr>
      </w:pPr>
      <w:r>
        <w:t xml:space="preserve">single-rod implant rollout still being expanded</w:t>
      </w:r>
    </w:p>
    <w:p>
      <w:pPr>
        <w:pStyle w:val="Compact"/>
        <w:numPr>
          <w:ilvl w:val="0"/>
          <w:numId w:val="1006"/>
        </w:numPr>
      </w:pPr>
      <w:r>
        <w:t xml:space="preserve">Rajasthan/Odisha are active implementation markets</w:t>
      </w:r>
    </w:p>
    <w:p>
      <w:pPr>
        <w:pStyle w:val="FirstParagraph"/>
      </w:pPr>
      <w:r>
        <w:rPr>
          <w:b/>
          <w:bCs/>
        </w:rPr>
        <w:t xml:space="preserve">Source:</w:t>
      </w:r>
      <w:r>
        <w:t xml:space="preserve"> </w:t>
      </w:r>
      <w:r>
        <w:t xml:space="preserve">UNFPA India.</w:t>
      </w:r>
    </w:p>
    <w:p>
      <w:r>
        <w:pict>
          <v:rect style="width:0;height:1.5pt" o:hralign="center" o:hrstd="t" o:hr="t"/>
        </w:pict>
      </w:r>
    </w:p>
    <w:bookmarkEnd w:id="28"/>
    <w:bookmarkEnd w:id="29"/>
    <w:bookmarkStart w:id="32" w:name="X41c88ff0978dd6d1bb65a8cfe5b9657d3e5b2e1"/>
    <w:p>
      <w:pPr>
        <w:pStyle w:val="Heading1"/>
      </w:pPr>
      <w:r>
        <w:t xml:space="preserve">PLATFORM 5: PENS AND AUTOINJECTORS ARE THE LARGEST NEW CONSUMER FORMAT, BUT THEIR MOAT IS FREQUENTLY OVERSTATED</w:t>
      </w:r>
    </w:p>
    <w:p>
      <w:pPr>
        <w:pStyle w:val="FirstParagraph"/>
      </w:pPr>
      <w:r>
        <w:t xml:space="preserve">The GLP-1 boom has made injection devices visible to millions of patients who previously had little contact with self-injection. This is creating real demand for pens, cartridges, primary containers and assembly.</w:t>
      </w:r>
    </w:p>
    <w:p>
      <w:pPr>
        <w:pStyle w:val="BodyText"/>
      </w:pPr>
      <w:r>
        <w:t xml:space="preserve">Stevanato estimates its 2025 directly addressable DDS market, which includes pens, autoinjectors, non-insulin on-body systems and DPIs, at</w:t>
      </w:r>
      <w:r>
        <w:t xml:space="preserve"> </w:t>
      </w:r>
      <w:r>
        <w:rPr>
          <w:b/>
          <w:bCs/>
        </w:rPr>
        <w:t xml:space="preserve">US$3.6bn</w:t>
      </w:r>
      <w:r>
        <w:t xml:space="preserve"> </w:t>
      </w:r>
      <w:r>
        <w:t xml:space="preserve">and expects around</w:t>
      </w:r>
      <w:r>
        <w:t xml:space="preserve"> </w:t>
      </w:r>
      <w:r>
        <w:rPr>
          <w:b/>
          <w:bCs/>
        </w:rPr>
        <w:t xml:space="preserve">9% CAGR through 2030</w:t>
      </w:r>
      <w:r>
        <w:t xml:space="preserve">. This is one of the more credible market-size anchors because it comes from an operating supplier and specifies what is included.</w:t>
      </w:r>
    </w:p>
    <w:p>
      <w:pPr>
        <w:pStyle w:val="BodyText"/>
      </w:pPr>
      <w:r>
        <w:t xml:space="preserve">The associated container market is also scaling. Stevanato estimates prefillable syringes, vials and cartridges at</w:t>
      </w:r>
      <w:r>
        <w:t xml:space="preserve"> </w:t>
      </w:r>
      <w:r>
        <w:rPr>
          <w:b/>
          <w:bCs/>
        </w:rPr>
        <w:t xml:space="preserve">US$4.7bn</w:t>
      </w:r>
      <w:r>
        <w:t xml:space="preserve">, with prefillable syringes growing around</w:t>
      </w:r>
      <w:r>
        <w:t xml:space="preserve"> </w:t>
      </w:r>
      <w:r>
        <w:rPr>
          <w:b/>
          <w:bCs/>
        </w:rPr>
        <w:t xml:space="preserve">14%</w:t>
      </w:r>
      <w:r>
        <w:t xml:space="preserve"> </w:t>
      </w:r>
      <w:r>
        <w:t xml:space="preserve">through 2030. This is where GLP-1s create a less obvious second-order investment pool: the patient may buy a Novo or Lilly medicine, but the industry also needs glass, elastomers, cartridges, syringes, moulded components and high-speed assembly capacity.</w:t>
      </w:r>
    </w:p>
    <w:p>
      <w:pPr>
        <w:pStyle w:val="BodyText"/>
      </w:pPr>
      <w:r>
        <w:t xml:space="preserve">We separate the device formats by how many patient tasks they remove.</w:t>
      </w:r>
    </w:p>
    <w:p>
      <w:pPr>
        <w:pStyle w:val="BodyText"/>
      </w:pPr>
      <w:r>
        <w:rPr>
          <w:b/>
          <w:bCs/>
        </w:rPr>
        <w:t xml:space="preserve">Vial + syringe:</w:t>
      </w:r>
      <w:r>
        <w:t xml:space="preserve"> </w:t>
      </w:r>
      <w:r>
        <w:t xml:space="preserve">lowest hardware complexity, highest preparation burden.</w:t>
      </w:r>
    </w:p>
    <w:p>
      <w:pPr>
        <w:pStyle w:val="BodyText"/>
      </w:pPr>
      <w:r>
        <w:rPr>
          <w:b/>
          <w:bCs/>
        </w:rPr>
        <w:t xml:space="preserve">Prefilled syringe:</w:t>
      </w:r>
      <w:r>
        <w:t xml:space="preserve"> </w:t>
      </w:r>
      <w:r>
        <w:t xml:space="preserve">removes dose preparation but leaves needle handling.</w:t>
      </w:r>
    </w:p>
    <w:p>
      <w:pPr>
        <w:pStyle w:val="BodyText"/>
      </w:pPr>
      <w:r>
        <w:rPr>
          <w:b/>
          <w:bCs/>
        </w:rPr>
        <w:t xml:space="preserve">Reusable pen:</w:t>
      </w:r>
      <w:r>
        <w:t xml:space="preserve"> </w:t>
      </w:r>
      <w:r>
        <w:t xml:space="preserve">durable mechanical unit plus replaceable cartridge; lower repeated device content but requires cartridge ecosystem.</w:t>
      </w:r>
    </w:p>
    <w:p>
      <w:pPr>
        <w:pStyle w:val="BodyText"/>
      </w:pPr>
      <w:r>
        <w:rPr>
          <w:b/>
          <w:bCs/>
        </w:rPr>
        <w:t xml:space="preserve">Disposable multidose pen:</w:t>
      </w:r>
      <w:r>
        <w:t xml:space="preserve"> </w:t>
      </w:r>
      <w:r>
        <w:t xml:space="preserve">simple refill behaviour but throws away more hardware.</w:t>
      </w:r>
    </w:p>
    <w:p>
      <w:pPr>
        <w:pStyle w:val="BodyText"/>
      </w:pPr>
      <w:r>
        <w:rPr>
          <w:b/>
          <w:bCs/>
        </w:rPr>
        <w:t xml:space="preserve">Single-dose autoinjector:</w:t>
      </w:r>
      <w:r>
        <w:t xml:space="preserve"> </w:t>
      </w:r>
      <w:r>
        <w:t xml:space="preserve">minimal patient steps and concealed needle, but maximum hardware per dose.</w:t>
      </w:r>
    </w:p>
    <w:p>
      <w:pPr>
        <w:pStyle w:val="BodyText"/>
      </w:pPr>
      <w:r>
        <w:t xml:space="preserve">A reusable pen is therefore not technologically inferior just because it has less disposable hardware. In India, its economics can be superior.</w:t>
      </w:r>
    </w:p>
    <w:p>
      <w:pPr>
        <w:pStyle w:val="BodyText"/>
      </w:pPr>
      <w:r>
        <w:t xml:space="preserve">The Zydus/Lupin architecture is particularly relevant. Lupin obtained semi-exclusive rights to Zydus’</w:t>
      </w:r>
      <w:r>
        <w:t xml:space="preserve"> </w:t>
      </w:r>
      <w:r>
        <w:rPr>
          <w:b/>
          <w:bCs/>
        </w:rPr>
        <w:t xml:space="preserve">15 mg/3 mL semaglutide injection with a reusable pen</w:t>
      </w:r>
      <w:r>
        <w:t xml:space="preserve">. Zydus continues marketing the same platform through its own brands.</w:t>
      </w:r>
    </w:p>
    <w:p>
      <w:pPr>
        <w:pStyle w:val="BodyText"/>
      </w:pPr>
      <w:r>
        <w:t xml:space="preserve">Sun chose a different approach. Noveltreat comes in five strengths using a concealed-needle prefilled pen; Sematrinity uses a multidose pen. Weekly therapy costs disclosed by Sun range from roughly</w:t>
      </w:r>
      <w:r>
        <w:t xml:space="preserve"> </w:t>
      </w:r>
      <w:r>
        <w:rPr>
          <w:b/>
          <w:bCs/>
        </w:rPr>
        <w:t xml:space="preserve">INR900 to INR2,000</w:t>
      </w:r>
      <w:r>
        <w:t xml:space="preserve"> </w:t>
      </w:r>
      <w:r>
        <w:t xml:space="preserve">for Noveltreat and</w:t>
      </w:r>
      <w:r>
        <w:t xml:space="preserve"> </w:t>
      </w:r>
      <w:r>
        <w:rPr>
          <w:b/>
          <w:bCs/>
        </w:rPr>
        <w:t xml:space="preserve">INR750 to INR1,300</w:t>
      </w:r>
      <w:r>
        <w:t xml:space="preserve"> </w:t>
      </w:r>
      <w:r>
        <w:t xml:space="preserve">for Sematrinity depending on dose. The pens were developed by external device suppliers and made in Europe.</w:t>
      </w:r>
    </w:p>
    <w:p>
      <w:pPr>
        <w:pStyle w:val="BodyText"/>
      </w:pPr>
      <w:r>
        <w:t xml:space="preserve">This tells us why the Indian market is interesting.</w:t>
      </w:r>
      <w:r>
        <w:t xml:space="preserve"> </w:t>
      </w:r>
      <w:r>
        <w:rPr>
          <w:b/>
          <w:bCs/>
        </w:rPr>
        <w:t xml:space="preserve">There are already at least three device strategies competing: reusable-cartridge economics, disposable convenience and lower-cost vial/oral formats.</w:t>
      </w:r>
    </w:p>
    <w:p>
      <w:pPr>
        <w:pStyle w:val="BodyText"/>
      </w:pPr>
      <w:r>
        <w:t xml:space="preserve">The reference GLP-1 analysis shows that pens generated more market value than cartridges and vials after Indian semaglutide LOE, while the innovator retained substantial value share. We interpret this as early evidence that convenience has a price, but not one uniform price.</w:t>
      </w:r>
    </w:p>
    <w:bookmarkStart w:id="30" w:name="X84e8d326340822c35c40fa5e7d91b98875f6563"/>
    <w:p>
      <w:pPr>
        <w:pStyle w:val="Heading3"/>
      </w:pPr>
      <w:r>
        <w:t xml:space="preserve">EXHIBIT 9: INDIA SEMAGLUTIDE IS ALREADY SEGMENTING BY FORMAT, NOT JUST BY MOLECULE</w:t>
      </w:r>
    </w:p>
    <w:p>
      <w:pPr>
        <w:pStyle w:val="FirstParagraph"/>
      </w:pPr>
      <w:r>
        <w:t xml:space="preserve">Recreate the current India format chart from the reference work, but add a second analytical layer:</w:t>
      </w:r>
    </w:p>
    <w:p>
      <w:pPr>
        <w:pStyle w:val="BodyText"/>
      </w:pPr>
      <w:r>
        <w:rPr>
          <w:b/>
          <w:bCs/>
        </w:rPr>
        <w:t xml:space="preserve">X-axis:</w:t>
      </w:r>
      <w:r>
        <w:t xml:space="preserve"> </w:t>
      </w:r>
      <w:r>
        <w:t xml:space="preserve">Pens, Oral, Cartridges, Vials.</w:t>
      </w:r>
    </w:p>
    <w:p>
      <w:pPr>
        <w:pStyle w:val="BodyText"/>
      </w:pPr>
      <w:r>
        <w:rPr>
          <w:b/>
          <w:bCs/>
        </w:rPr>
        <w:t xml:space="preserve">Y-axis:</w:t>
      </w:r>
      <w:r>
        <w:t xml:space="preserve"> </w:t>
      </w:r>
      <w:r>
        <w:t xml:space="preserve">Q1 FY27 market value, INRm.</w:t>
      </w:r>
    </w:p>
    <w:p>
      <w:pPr>
        <w:pStyle w:val="BodyText"/>
      </w:pPr>
      <w:r>
        <w:t xml:space="preserve">Overlay:</w:t>
      </w:r>
    </w:p>
    <w:p>
      <w:pPr>
        <w:pStyle w:val="Compact"/>
        <w:numPr>
          <w:ilvl w:val="0"/>
          <w:numId w:val="1007"/>
        </w:numPr>
      </w:pPr>
      <w:r>
        <w:t xml:space="preserve">highest convenience</w:t>
      </w:r>
    </w:p>
    <w:p>
      <w:pPr>
        <w:pStyle w:val="Compact"/>
        <w:numPr>
          <w:ilvl w:val="0"/>
          <w:numId w:val="1007"/>
        </w:numPr>
      </w:pPr>
      <w:r>
        <w:t xml:space="preserve">reusable hardware</w:t>
      </w:r>
    </w:p>
    <w:p>
      <w:pPr>
        <w:pStyle w:val="Compact"/>
        <w:numPr>
          <w:ilvl w:val="0"/>
          <w:numId w:val="1007"/>
        </w:numPr>
      </w:pPr>
      <w:r>
        <w:t xml:space="preserve">lowest hardware cost</w:t>
      </w:r>
    </w:p>
    <w:p>
      <w:pPr>
        <w:pStyle w:val="Compact"/>
        <w:numPr>
          <w:ilvl w:val="0"/>
          <w:numId w:val="1007"/>
        </w:numPr>
      </w:pPr>
      <w:r>
        <w:t xml:space="preserve">no injection</w:t>
      </w:r>
    </w:p>
    <w:p>
      <w:pPr>
        <w:pStyle w:val="FirstParagraph"/>
      </w:pPr>
      <w:r>
        <w:rPr>
          <w:b/>
          <w:bCs/>
        </w:rPr>
        <w:t xml:space="preserve">Source:</w:t>
      </w:r>
      <w:r>
        <w:t xml:space="preserve"> </w:t>
      </w:r>
      <w:r>
        <w:t xml:space="preserve">IQVIA / Bernstein analysis from existing GLP-1 work.</w:t>
      </w:r>
    </w:p>
    <w:p>
      <w:pPr>
        <w:pStyle w:val="BodyText"/>
      </w:pPr>
      <w:r>
        <w:rPr>
          <w:b/>
          <w:bCs/>
        </w:rPr>
        <w:t xml:space="preserve">What it proves:</w:t>
      </w:r>
      <w:r>
        <w:t xml:space="preserve"> </w:t>
      </w:r>
      <w:r>
        <w:t xml:space="preserve">lowest price has not immediately become the sole purchase criterion.</w:t>
      </w:r>
    </w:p>
    <w:bookmarkEnd w:id="30"/>
    <w:bookmarkStart w:id="31" w:name="X5a90a85cc4339c21bbcf0d486be5aefac38ffd3"/>
    <w:p>
      <w:pPr>
        <w:pStyle w:val="Heading3"/>
      </w:pPr>
      <w:r>
        <w:t xml:space="preserve">EXHIBIT 10: THE REUSABLE PEN ECONOMIC ADVANTAGE INCREASES WITH TREATMENT DURATION</w:t>
      </w:r>
    </w:p>
    <w:p>
      <w:pPr>
        <w:pStyle w:val="FirstParagraph"/>
      </w:pPr>
      <w:r>
        <w:rPr>
          <w:b/>
          <w:bCs/>
        </w:rPr>
        <w:t xml:space="preserve">Chart:</w:t>
      </w:r>
      <w:r>
        <w:t xml:space="preserve"> </w:t>
      </w:r>
      <w:r>
        <w:t xml:space="preserve">Cumulative device cost.</w:t>
      </w:r>
    </w:p>
    <w:p>
      <w:pPr>
        <w:pStyle w:val="BodyText"/>
      </w:pPr>
      <w:r>
        <w:rPr>
          <w:b/>
          <w:bCs/>
        </w:rPr>
        <w:t xml:space="preserve">X-axis:</w:t>
      </w:r>
      <w:r>
        <w:t xml:space="preserve"> </w:t>
      </w:r>
      <w:r>
        <w:t xml:space="preserve">number of monthly/quarterly cartridge replacement cycles.</w:t>
      </w:r>
    </w:p>
    <w:p>
      <w:pPr>
        <w:pStyle w:val="BodyText"/>
      </w:pPr>
      <w:r>
        <w:rPr>
          <w:b/>
          <w:bCs/>
        </w:rPr>
        <w:t xml:space="preserve">Y-axis:</w:t>
      </w:r>
      <w:r>
        <w:t xml:space="preserve"> </w:t>
      </w:r>
      <w:r>
        <w:t xml:space="preserve">indexed hardware cost.</w:t>
      </w:r>
    </w:p>
    <w:p>
      <w:pPr>
        <w:pStyle w:val="BodyText"/>
      </w:pPr>
      <w:r>
        <w:t xml:space="preserve">Model:</w:t>
      </w:r>
    </w:p>
    <w:p>
      <w:pPr>
        <w:pStyle w:val="Compact"/>
        <w:numPr>
          <w:ilvl w:val="0"/>
          <w:numId w:val="1008"/>
        </w:numPr>
      </w:pPr>
      <w:r>
        <w:t xml:space="preserve">disposable device = D per cycle</w:t>
      </w:r>
    </w:p>
    <w:p>
      <w:pPr>
        <w:pStyle w:val="Compact"/>
        <w:numPr>
          <w:ilvl w:val="0"/>
          <w:numId w:val="1008"/>
        </w:numPr>
      </w:pPr>
      <w:r>
        <w:t xml:space="preserve">reusable = R upfront + C per cartridge</w:t>
      </w:r>
    </w:p>
    <w:p>
      <w:pPr>
        <w:pStyle w:val="Compact"/>
        <w:numPr>
          <w:ilvl w:val="0"/>
          <w:numId w:val="1008"/>
        </w:numPr>
      </w:pPr>
      <w:r>
        <w:t xml:space="preserve">break-even = R/(D-C)</w:t>
      </w:r>
    </w:p>
    <w:p>
      <w:pPr>
        <w:pStyle w:val="FirstParagraph"/>
      </w:pPr>
      <w:r>
        <w:t xml:space="preserve">Use an indexed example rather than invented rupee manufacturing costs.</w:t>
      </w:r>
    </w:p>
    <w:p>
      <w:pPr>
        <w:pStyle w:val="BodyText"/>
      </w:pPr>
      <w:r>
        <w:rPr>
          <w:b/>
          <w:bCs/>
        </w:rPr>
        <w:t xml:space="preserve">Investor takeaway:</w:t>
      </w:r>
      <w:r>
        <w:t xml:space="preserve"> </w:t>
      </w:r>
      <w:r>
        <w:t xml:space="preserve">reusable pens are most attractive in chronic, persistent patients; they are least attractive where discontinuation is high.</w:t>
      </w:r>
    </w:p>
    <w:p>
      <w:pPr>
        <w:pStyle w:val="BodyText"/>
      </w:pPr>
      <w:r>
        <w:t xml:space="preserve">This is particularly relevant in GLP-1s because persistence is not guaranteed. Gastrointestinal tolerability, cost and patient expectations can all terminate therapy.</w:t>
      </w:r>
      <w:r>
        <w:t xml:space="preserve"> </w:t>
      </w:r>
      <w:r>
        <w:rPr>
          <w:b/>
          <w:bCs/>
        </w:rPr>
        <w:t xml:space="preserve">The device economic advantage therefore depends on the same persistence variable that determines pharmaceutical lifetime value.</w:t>
      </w:r>
    </w:p>
    <w:p>
      <w:pPr>
        <w:pStyle w:val="BodyText"/>
      </w:pPr>
      <w:r>
        <w:t xml:space="preserve">Autoinjectors have a better moat when the molecule is a chronic biologic and the device eliminates clinic administration. In that situation, the economic value can include nurse time, infusion-chair capacity and patient travel, not just needle concealment.</w:t>
      </w:r>
    </w:p>
    <w:p>
      <w:pPr>
        <w:pStyle w:val="BodyText"/>
      </w:pPr>
      <w:r>
        <w:t xml:space="preserve">But the device industry is increasingly platformised. Stevanato lists SHL, Ypsomed, West and BD among major competitors. Ypsomed offers several standard autoinjector capacities, including 1 mL, 2.25 mL and newer larger-volume designs.</w:t>
      </w:r>
      <w:r>
        <w:t xml:space="preserve"> </w:t>
      </w:r>
      <w:r>
        <w:rPr>
          <w:b/>
          <w:bCs/>
        </w:rPr>
        <w:t xml:space="preserve">A pharma company using a qualified external platform should not automatically receive device-IP credit.</w:t>
      </w:r>
    </w:p>
    <w:p>
      <w:r>
        <w:pict>
          <v:rect style="width:0;height:1.5pt" o:hralign="center" o:hrstd="t" o:hr="t"/>
        </w:pict>
      </w:r>
    </w:p>
    <w:bookmarkEnd w:id="31"/>
    <w:bookmarkEnd w:id="32"/>
    <w:bookmarkStart w:id="35" w:name="X53e83e6d7b07ce0bf24f8444b4d1f759589c5f6"/>
    <w:p>
      <w:pPr>
        <w:pStyle w:val="Heading1"/>
      </w:pPr>
      <w:r>
        <w:t xml:space="preserve">PLATFORM 6: WEARABLES AND PUMPS HAVE THE HIGHEST CLINICAL VALUE, BUT ALSO THE WORST AFFORDABILITY PROBLEM</w:t>
      </w:r>
    </w:p>
    <w:p>
      <w:pPr>
        <w:pStyle w:val="FirstParagraph"/>
      </w:pPr>
      <w:r>
        <w:t xml:space="preserve">The wearable-injector narrative is frequently exaggerated by showing a smooth continuum from 1 mL pens to 50 mL wearables. The actual commercial engineering is narrower.</w:t>
      </w:r>
    </w:p>
    <w:p>
      <w:pPr>
        <w:pStyle w:val="BodyText"/>
      </w:pPr>
      <w:r>
        <w:t xml:space="preserve">Ypsomed’s YpsoDose is designed for</w:t>
      </w:r>
      <w:r>
        <w:t xml:space="preserve"> </w:t>
      </w:r>
      <w:r>
        <w:rPr>
          <w:b/>
          <w:bCs/>
        </w:rPr>
        <w:t xml:space="preserve">2-10 mL</w:t>
      </w:r>
      <w:r>
        <w:t xml:space="preserve"> </w:t>
      </w:r>
      <w:r>
        <w:t xml:space="preserve">fill volume and can deliver</w:t>
      </w:r>
      <w:r>
        <w:t xml:space="preserve"> </w:t>
      </w:r>
      <w:r>
        <w:rPr>
          <w:b/>
          <w:bCs/>
        </w:rPr>
        <w:t xml:space="preserve">10 mL at 50 cP in around 10 minutes</w:t>
      </w:r>
      <w:r>
        <w:t xml:space="preserve">. Its flow rate is 0.3-3.0 mL/min. The significance is not merely larger volume. High viscosity creates rising injection force, and forcing the same dose through a small autoinjector quickly can become uncomfortable or mechanically difficult.</w:t>
      </w:r>
    </w:p>
    <w:p>
      <w:pPr>
        <w:pStyle w:val="BodyText"/>
      </w:pPr>
      <w:r>
        <w:t xml:space="preserve">Ypsomed’s current product range gives a useful capacity map:</w:t>
      </w:r>
    </w:p>
    <w:p>
      <w:pPr>
        <w:pStyle w:val="Compact"/>
        <w:numPr>
          <w:ilvl w:val="0"/>
          <w:numId w:val="1009"/>
        </w:numPr>
      </w:pPr>
      <w:r>
        <w:t xml:space="preserve">YpsoMate: conventional PFS capacities</w:t>
      </w:r>
    </w:p>
    <w:p>
      <w:pPr>
        <w:pStyle w:val="Compact"/>
        <w:numPr>
          <w:ilvl w:val="0"/>
          <w:numId w:val="1009"/>
        </w:numPr>
      </w:pPr>
      <w:r>
        <w:t xml:space="preserve">YpsoMate 2.25: up to 2.25 mL</w:t>
      </w:r>
    </w:p>
    <w:p>
      <w:pPr>
        <w:pStyle w:val="Compact"/>
        <w:numPr>
          <w:ilvl w:val="0"/>
          <w:numId w:val="1009"/>
        </w:numPr>
      </w:pPr>
      <w:r>
        <w:t xml:space="preserve">YpsoMate 5.5: up to 5.5 mL</w:t>
      </w:r>
    </w:p>
    <w:p>
      <w:pPr>
        <w:pStyle w:val="Compact"/>
        <w:numPr>
          <w:ilvl w:val="0"/>
          <w:numId w:val="1009"/>
        </w:numPr>
      </w:pPr>
      <w:r>
        <w:t xml:space="preserve">YpsoDose: up to 10 mL.</w:t>
      </w:r>
    </w:p>
    <w:p>
      <w:pPr>
        <w:pStyle w:val="FirstParagraph"/>
      </w:pPr>
      <w:r>
        <w:rPr>
          <w:b/>
          <w:bCs/>
        </w:rPr>
        <w:t xml:space="preserve">Our market view is therefore that the important transition is from 1-2 mL to approximately 5-10 mL, not an immediate shift to 50 mL wearable delivery.</w:t>
      </w:r>
      <w:r>
        <w:t xml:space="preserve"> </w:t>
      </w:r>
      <w:r>
        <w:t xml:space="preserve">Beyond this, formulation redesign, split dosing or conventional infusion can remain more practical.</w:t>
      </w:r>
    </w:p>
    <w:bookmarkStart w:id="33" w:name="X7ecab632f7cb7e7e7f7ee5060c7e2207504b9c6"/>
    <w:p>
      <w:pPr>
        <w:pStyle w:val="Heading3"/>
      </w:pPr>
      <w:r>
        <w:t xml:space="preserve">EXHIBIT 11: THE COMMERCIAL SUBCUTANEOUS DELIVERY PROBLEM CHANGES SHARPLY ABOVE ~2 ML</w:t>
      </w:r>
    </w:p>
    <w:p>
      <w:pPr>
        <w:pStyle w:val="FirstParagraph"/>
      </w:pPr>
      <w:r>
        <w:rPr>
          <w:b/>
          <w:bCs/>
        </w:rPr>
        <w:t xml:space="preserve">Chart:</w:t>
      </w:r>
      <w:r>
        <w:t xml:space="preserve"> </w:t>
      </w:r>
      <w:r>
        <w:t xml:space="preserve">Administration-volume continuum.</w:t>
      </w:r>
    </w:p>
    <w:p>
      <w:pPr>
        <w:pStyle w:val="BodyText"/>
      </w:pPr>
      <w:r>
        <w:t xml:space="preserve">&lt;1 mL: PFS</w:t>
      </w:r>
      <w:r>
        <w:br/>
      </w:r>
      <w:r>
        <w:t xml:space="preserve">1-2.25 mL: conventional autoinjector</w:t>
      </w:r>
      <w:r>
        <w:br/>
      </w:r>
      <w:r>
        <w:t xml:space="preserve">2-5.5 mL: high-capacity autoinjector</w:t>
      </w:r>
      <w:r>
        <w:br/>
      </w:r>
      <w:r>
        <w:t xml:space="preserve">2-10 mL: wearable/patch injector</w:t>
      </w:r>
      <w:r>
        <w:br/>
      </w:r>
      <w:r>
        <w:t xml:space="preserve">&gt;10 mL: increasingly formulation- and therapy-specific</w:t>
      </w:r>
    </w:p>
    <w:p>
      <w:pPr>
        <w:pStyle w:val="BodyText"/>
      </w:pPr>
      <w:r>
        <w:t xml:space="preserve">Overlay:</w:t>
      </w:r>
    </w:p>
    <w:p>
      <w:pPr>
        <w:pStyle w:val="Compact"/>
        <w:numPr>
          <w:ilvl w:val="0"/>
          <w:numId w:val="1010"/>
        </w:numPr>
      </w:pPr>
      <w:r>
        <w:t xml:space="preserve">rising viscosity challenge</w:t>
      </w:r>
    </w:p>
    <w:p>
      <w:pPr>
        <w:pStyle w:val="Compact"/>
        <w:numPr>
          <w:ilvl w:val="0"/>
          <w:numId w:val="1010"/>
        </w:numPr>
      </w:pPr>
      <w:r>
        <w:t xml:space="preserve">longer administration time</w:t>
      </w:r>
    </w:p>
    <w:p>
      <w:pPr>
        <w:pStyle w:val="Compact"/>
        <w:numPr>
          <w:ilvl w:val="0"/>
          <w:numId w:val="1010"/>
        </w:numPr>
      </w:pPr>
      <w:r>
        <w:t xml:space="preserve">growing need for motor-driven delivery</w:t>
      </w:r>
    </w:p>
    <w:p>
      <w:pPr>
        <w:pStyle w:val="FirstParagraph"/>
      </w:pPr>
      <w:r>
        <w:rPr>
          <w:b/>
          <w:bCs/>
        </w:rPr>
        <w:t xml:space="preserve">Source:</w:t>
      </w:r>
      <w:r>
        <w:t xml:space="preserve"> </w:t>
      </w:r>
      <w:r>
        <w:t xml:space="preserve">Ypsomed.</w:t>
      </w:r>
    </w:p>
    <w:p>
      <w:pPr>
        <w:pStyle w:val="BodyText"/>
      </w:pPr>
      <w:r>
        <w:t xml:space="preserve">The more important pump market is diabetes. Insulet generated</w:t>
      </w:r>
      <w:r>
        <w:t xml:space="preserve"> </w:t>
      </w:r>
      <w:r>
        <w:rPr>
          <w:b/>
          <w:bCs/>
        </w:rPr>
        <w:t xml:space="preserve">US$2.67bn</w:t>
      </w:r>
      <w:r>
        <w:t xml:space="preserve"> </w:t>
      </w:r>
      <w:r>
        <w:t xml:space="preserve">of Omnipod product revenue in 2025, up 31.6%, and reports more than</w:t>
      </w:r>
      <w:r>
        <w:t xml:space="preserve"> </w:t>
      </w:r>
      <w:r>
        <w:rPr>
          <w:b/>
          <w:bCs/>
        </w:rPr>
        <w:t xml:space="preserve">600,000 global customers</w:t>
      </w:r>
      <w:r>
        <w:t xml:space="preserve">. Insulet itself describes a</w:t>
      </w:r>
      <w:r>
        <w:t xml:space="preserve"> </w:t>
      </w:r>
      <w:r>
        <w:rPr>
          <w:b/>
          <w:bCs/>
        </w:rPr>
        <w:t xml:space="preserve">US$30bn-plus addressable market</w:t>
      </w:r>
      <w:r>
        <w:t xml:space="preserve"> </w:t>
      </w:r>
      <w:r>
        <w:t xml:space="preserve">across automated insulin delivery opportunities. We would not treat that US$30bn as present market revenue, but it indicates how much diabetes expenditure could migrate toward pump-based therapy if penetration rises.</w:t>
      </w:r>
    </w:p>
    <w:p>
      <w:pPr>
        <w:pStyle w:val="BodyText"/>
      </w:pPr>
      <w:r>
        <w:t xml:space="preserve">The clinical advantage comes from automation, not from wearing plastic on the body. A pump can provide basal insulin continuously, deliver boluses and, when connected with CGM and an algorithm, adjust dosing based on glucose trajectory.</w:t>
      </w:r>
    </w:p>
    <w:p>
      <w:pPr>
        <w:pStyle w:val="BodyText"/>
      </w:pPr>
      <w:r>
        <w:t xml:space="preserve">That makes automated insulin delivery different from a weekly autoinjector. The pump is actively changing the treatment regimen every day.</w:t>
      </w:r>
    </w:p>
    <w:p>
      <w:pPr>
        <w:pStyle w:val="BodyText"/>
      </w:pPr>
      <w:r>
        <w:rPr>
          <w:b/>
          <w:bCs/>
        </w:rPr>
        <w:t xml:space="preserve">The commercial barrier is therefore a system barrier:</w:t>
      </w:r>
      <w:r>
        <w:t xml:space="preserve"> </w:t>
      </w:r>
      <w:r>
        <w:t xml:space="preserve">pump hardware + disposable pod/infusion set + CGM + algorithm + smartphone/controller + training + reimbursement.</w:t>
      </w:r>
    </w:p>
    <w:p>
      <w:pPr>
        <w:pStyle w:val="BodyText"/>
      </w:pPr>
      <w:r>
        <w:t xml:space="preserve">The downside is cost. The same integrated architecture that creates the moat makes emerging-market penetration difficult. India has a very large diabetes population, but most patients do not have US-style reimbursement for continuous device consumables.</w:t>
      </w:r>
      <w:r>
        <w:t xml:space="preserve"> </w:t>
      </w:r>
      <w:r>
        <w:rPr>
          <w:b/>
          <w:bCs/>
        </w:rPr>
        <w:t xml:space="preserve">We therefore think insulin pumps are a superior technology with a weak near-term India listed-pharma read-through.</w:t>
      </w:r>
    </w:p>
    <w:p>
      <w:pPr>
        <w:pStyle w:val="BodyText"/>
      </w:pPr>
      <w:r>
        <w:t xml:space="preserve">Non-diabetes pumps are clinically relevant where intermittent oral or injection exposure is inadequate. Advanced Parkinson’s disease is one example because continuous dopaminergic exposure can reduce motor fluctuations. These are attractive niche markets, but they do not yet create the same device scale as diabetes.</w:t>
      </w:r>
    </w:p>
    <w:p>
      <w:pPr>
        <w:pStyle w:val="BodyText"/>
      </w:pPr>
      <w:r>
        <w:t xml:space="preserve">We investigated CKD specifically. We do not identify a large commercially established CKD drug-delivery pump market comparable with diabetes or Parkinson’s disease. Dialysis equipment should not be put into this theme simply because it pumps fluid.</w:t>
      </w:r>
      <w:r>
        <w:t xml:space="preserve"> </w:t>
      </w:r>
      <w:r>
        <w:rPr>
          <w:b/>
          <w:bCs/>
        </w:rPr>
        <w:t xml:space="preserve">We would remove CKD rather than manufacture a narrative around it.</w:t>
      </w:r>
    </w:p>
    <w:bookmarkEnd w:id="33"/>
    <w:bookmarkStart w:id="34" w:name="Xfadb04c2f35b578be3f9511d6e7a1f1bb0a45e4"/>
    <w:p>
      <w:pPr>
        <w:pStyle w:val="Heading3"/>
      </w:pPr>
      <w:r>
        <w:t xml:space="preserve">EXHIBIT 12: OMNIPOD SHOWS THAT THE DELIVERY SYSTEM ITSELF CAN BECOME A MULTI-BILLION-DOLLAR RECURRING-REVENUE FRANCHISE</w:t>
      </w:r>
    </w:p>
    <w:p>
      <w:pPr>
        <w:pStyle w:val="FirstParagraph"/>
      </w:pPr>
      <w:r>
        <w:rPr>
          <w:b/>
          <w:bCs/>
        </w:rPr>
        <w:t xml:space="preserve">Chart:</w:t>
      </w:r>
      <w:r>
        <w:t xml:space="preserve"> </w:t>
      </w:r>
      <w:r>
        <w:t xml:space="preserve">Omnipod product revenue.</w:t>
      </w:r>
    </w:p>
    <w:p>
      <w:pPr>
        <w:pStyle w:val="BodyText"/>
      </w:pPr>
      <w:r>
        <w:t xml:space="preserve">2024: US$2.03bn</w:t>
      </w:r>
      <w:r>
        <w:br/>
      </w:r>
      <w:r>
        <w:t xml:space="preserve">2025: US$2.67bn</w:t>
      </w:r>
    </w:p>
    <w:p>
      <w:pPr>
        <w:pStyle w:val="BodyText"/>
      </w:pPr>
      <w:r>
        <w:t xml:space="preserve">Growth: +31.6%</w:t>
      </w:r>
    </w:p>
    <w:p>
      <w:pPr>
        <w:pStyle w:val="BodyText"/>
      </w:pPr>
      <w:r>
        <w:t xml:space="preserve">Add:</w:t>
      </w:r>
    </w:p>
    <w:p>
      <w:pPr>
        <w:pStyle w:val="Compact"/>
        <w:numPr>
          <w:ilvl w:val="0"/>
          <w:numId w:val="1011"/>
        </w:numPr>
      </w:pPr>
      <w:r>
        <w:t xml:space="preserve">600k+ global users</w:t>
      </w:r>
    </w:p>
    <w:p>
      <w:pPr>
        <w:pStyle w:val="Compact"/>
        <w:numPr>
          <w:ilvl w:val="0"/>
          <w:numId w:val="1011"/>
        </w:numPr>
      </w:pPr>
      <w:r>
        <w:t xml:space="preserve">26 countries</w:t>
      </w:r>
    </w:p>
    <w:p>
      <w:pPr>
        <w:pStyle w:val="FirstParagraph"/>
      </w:pPr>
      <w:r>
        <w:rPr>
          <w:b/>
          <w:bCs/>
        </w:rPr>
        <w:t xml:space="preserve">Source:</w:t>
      </w:r>
      <w:r>
        <w:t xml:space="preserve"> </w:t>
      </w:r>
      <w:r>
        <w:t xml:space="preserve">Insulet.</w:t>
      </w:r>
    </w:p>
    <w:p>
      <w:pPr>
        <w:pStyle w:val="BodyText"/>
      </w:pPr>
      <w:r>
        <w:rPr>
          <w:b/>
          <w:bCs/>
        </w:rPr>
        <w:t xml:space="preserve">Investor takeaway:</w:t>
      </w:r>
      <w:r>
        <w:t xml:space="preserve"> </w:t>
      </w:r>
      <w:r>
        <w:t xml:space="preserve">pumps are one of the few platforms where most of the investable economics can sit in the delivery system rather than the drug.</w:t>
      </w:r>
    </w:p>
    <w:p>
      <w:r>
        <w:pict>
          <v:rect style="width:0;height:1.5pt" o:hralign="center" o:hrstd="t" o:hr="t"/>
        </w:pict>
      </w:r>
    </w:p>
    <w:bookmarkEnd w:id="34"/>
    <w:bookmarkEnd w:id="35"/>
    <w:bookmarkStart w:id="41" w:name="X50241eaea9e3e4e580d4a61d0f4b6d0c6c2d8de"/>
    <w:p>
      <w:pPr>
        <w:pStyle w:val="Heading1"/>
      </w:pPr>
      <w:r>
        <w:t xml:space="preserve">THE DEVICE MOAT IS NOT ONE THING: WE SEE FIVE DIFFERENT SOURCES OF VALUE</w:t>
      </w:r>
    </w:p>
    <w:bookmarkStart w:id="36" w:name="pharmacological-moat-the-strongest-form"/>
    <w:p>
      <w:pPr>
        <w:pStyle w:val="Heading2"/>
      </w:pPr>
      <w:r>
        <w:t xml:space="preserve">1. PHARMACOLOGICAL MOAT: THE STRONGEST FORM</w:t>
      </w:r>
    </w:p>
    <w:p>
      <w:pPr>
        <w:pStyle w:val="FirstParagraph"/>
      </w:pPr>
      <w:r>
        <w:t xml:space="preserve">The device is most defensible when removing it changes the drug’s exposure.</w:t>
      </w:r>
    </w:p>
    <w:p>
      <w:pPr>
        <w:pStyle w:val="BodyText"/>
      </w:pPr>
      <w:r>
        <w:t xml:space="preserve">Examples:</w:t>
      </w:r>
    </w:p>
    <w:p>
      <w:pPr>
        <w:pStyle w:val="Compact"/>
        <w:numPr>
          <w:ilvl w:val="0"/>
          <w:numId w:val="1012"/>
        </w:numPr>
      </w:pPr>
      <w:r>
        <w:t xml:space="preserve">lung deposition from inhalers</w:t>
      </w:r>
    </w:p>
    <w:p>
      <w:pPr>
        <w:pStyle w:val="Compact"/>
        <w:numPr>
          <w:ilvl w:val="0"/>
          <w:numId w:val="1012"/>
        </w:numPr>
      </w:pPr>
      <w:r>
        <w:t xml:space="preserve">continuous basal/bolus insulin</w:t>
      </w:r>
    </w:p>
    <w:p>
      <w:pPr>
        <w:pStyle w:val="Compact"/>
        <w:numPr>
          <w:ilvl w:val="0"/>
          <w:numId w:val="1012"/>
        </w:numPr>
      </w:pPr>
      <w:r>
        <w:t xml:space="preserve">local everolimus/paclitaxel delivery in coronary devices</w:t>
      </w:r>
    </w:p>
    <w:p>
      <w:pPr>
        <w:pStyle w:val="Compact"/>
        <w:numPr>
          <w:ilvl w:val="0"/>
          <w:numId w:val="1012"/>
        </w:numPr>
      </w:pPr>
      <w:r>
        <w:t xml:space="preserve">prolonged transdermal input.</w:t>
      </w:r>
    </w:p>
    <w:p>
      <w:pPr>
        <w:pStyle w:val="FirstParagraph"/>
      </w:pPr>
      <w:r>
        <w:t xml:space="preserve">These products cannot be replaced by a generic tablet simply by proving systemic bioequivalence.</w:t>
      </w:r>
    </w:p>
    <w:bookmarkEnd w:id="36"/>
    <w:bookmarkStart w:id="37" w:name="Xb08df1a185407c6fe6bcf1c442ed03bb89fedb3"/>
    <w:p>
      <w:pPr>
        <w:pStyle w:val="Heading2"/>
      </w:pPr>
      <w:r>
        <w:t xml:space="preserve">2. BEHAVIOURAL MOAT: STRONG BUT DISEASE-SPECIFIC</w:t>
      </w:r>
    </w:p>
    <w:p>
      <w:pPr>
        <w:pStyle w:val="FirstParagraph"/>
      </w:pPr>
      <w:r>
        <w:t xml:space="preserve">Nexplanon converts repeated adherence into a procedure. Autoinjectors can reduce needle visibility and administration steps. Reusable pens can create familiarity.</w:t>
      </w:r>
    </w:p>
    <w:p>
      <w:pPr>
        <w:pStyle w:val="BodyText"/>
      </w:pPr>
      <w:r>
        <w:t xml:space="preserve">Behavioural barriers can be powerful, but they are more vulnerable to an oral substitute than a pharmacological barrier.</w:t>
      </w:r>
    </w:p>
    <w:bookmarkEnd w:id="37"/>
    <w:bookmarkStart w:id="38" w:name="site-of-care-moat-underappreciated"/>
    <w:p>
      <w:pPr>
        <w:pStyle w:val="Heading2"/>
      </w:pPr>
      <w:r>
        <w:t xml:space="preserve">3. SITE-OF-CARE MOAT: UNDERAPPRECIATED</w:t>
      </w:r>
    </w:p>
    <w:p>
      <w:pPr>
        <w:pStyle w:val="FirstParagraph"/>
      </w:pPr>
      <w:r>
        <w:t xml:space="preserve">A device creates additional value when it moves administration from clinic to home.</w:t>
      </w:r>
    </w:p>
    <w:p>
      <w:pPr>
        <w:pStyle w:val="BodyText"/>
      </w:pPr>
      <w:r>
        <w:t xml:space="preserve">The relevant saving may include:</w:t>
      </w:r>
    </w:p>
    <w:p>
      <w:pPr>
        <w:pStyle w:val="Compact"/>
        <w:numPr>
          <w:ilvl w:val="0"/>
          <w:numId w:val="1013"/>
        </w:numPr>
      </w:pPr>
      <w:r>
        <w:t xml:space="preserve">infusion-chair capacity</w:t>
      </w:r>
    </w:p>
    <w:p>
      <w:pPr>
        <w:pStyle w:val="Compact"/>
        <w:numPr>
          <w:ilvl w:val="0"/>
          <w:numId w:val="1013"/>
        </w:numPr>
      </w:pPr>
      <w:r>
        <w:t xml:space="preserve">nurse labour</w:t>
      </w:r>
    </w:p>
    <w:p>
      <w:pPr>
        <w:pStyle w:val="Compact"/>
        <w:numPr>
          <w:ilvl w:val="0"/>
          <w:numId w:val="1013"/>
        </w:numPr>
      </w:pPr>
      <w:r>
        <w:t xml:space="preserve">patient travel</w:t>
      </w:r>
    </w:p>
    <w:p>
      <w:pPr>
        <w:pStyle w:val="Compact"/>
        <w:numPr>
          <w:ilvl w:val="0"/>
          <w:numId w:val="1013"/>
        </w:numPr>
      </w:pPr>
      <w:r>
        <w:t xml:space="preserve">scheduling</w:t>
      </w:r>
    </w:p>
    <w:p>
      <w:pPr>
        <w:pStyle w:val="Compact"/>
        <w:numPr>
          <w:ilvl w:val="0"/>
          <w:numId w:val="1013"/>
        </w:numPr>
      </w:pPr>
      <w:r>
        <w:t xml:space="preserve">administration fees.</w:t>
      </w:r>
    </w:p>
    <w:p>
      <w:pPr>
        <w:pStyle w:val="FirstParagraph"/>
      </w:pPr>
      <w:r>
        <w:t xml:space="preserve">An autoinjector that merely replaces one home syringe is less valuable than one that removes a recurring clinic visit.</w:t>
      </w:r>
    </w:p>
    <w:bookmarkEnd w:id="38"/>
    <w:bookmarkStart w:id="39" w:name="X9b562e9a94d6c7da7c1ac4d2dc6eac1c0b845db"/>
    <w:p>
      <w:pPr>
        <w:pStyle w:val="Heading2"/>
      </w:pPr>
      <w:r>
        <w:t xml:space="preserve">4. MANUFACTURING MOAT: REAL, BUT OFTEN OWNED BY SUPPLIERS</w:t>
      </w:r>
    </w:p>
    <w:p>
      <w:pPr>
        <w:pStyle w:val="FirstParagraph"/>
      </w:pPr>
      <w:r>
        <w:t xml:space="preserve">Drug-device manufacturing requires more than fill-finish. Stevanato’s market structure is revealing. The company separately identifies:</w:t>
      </w:r>
    </w:p>
    <w:p>
      <w:pPr>
        <w:pStyle w:val="Compact"/>
        <w:numPr>
          <w:ilvl w:val="0"/>
          <w:numId w:val="1014"/>
        </w:numPr>
      </w:pPr>
      <w:r>
        <w:t xml:space="preserve">drug containment</w:t>
      </w:r>
    </w:p>
    <w:p>
      <w:pPr>
        <w:pStyle w:val="Compact"/>
        <w:numPr>
          <w:ilvl w:val="0"/>
          <w:numId w:val="1014"/>
        </w:numPr>
      </w:pPr>
      <w:r>
        <w:t xml:space="preserve">drug delivery systems</w:t>
      </w:r>
    </w:p>
    <w:p>
      <w:pPr>
        <w:pStyle w:val="Compact"/>
        <w:numPr>
          <w:ilvl w:val="0"/>
          <w:numId w:val="1014"/>
        </w:numPr>
      </w:pPr>
      <w:r>
        <w:t xml:space="preserve">device assembly equipment.</w:t>
      </w:r>
    </w:p>
    <w:p>
      <w:pPr>
        <w:pStyle w:val="FirstParagraph"/>
      </w:pPr>
      <w:r>
        <w:t xml:space="preserve">Its direct drug-containment market is US$4.7bn, while DDS is US$3.6bn.</w:t>
      </w:r>
      <w:r>
        <w:t xml:space="preserve"> </w:t>
      </w:r>
      <w:r>
        <w:rPr>
          <w:b/>
          <w:bCs/>
        </w:rPr>
        <w:t xml:space="preserve">A company can therefore own the sterile formulation but outsource the high-value container or device platform.</w:t>
      </w:r>
    </w:p>
    <w:p>
      <w:pPr>
        <w:pStyle w:val="BodyText"/>
      </w:pPr>
      <w:r>
        <w:t xml:space="preserve">Gerresheimer’s €1.35bn Plastics &amp; Devices revenue provides further evidence that device manufacturing itself is a substantial outsourced industry.</w:t>
      </w:r>
    </w:p>
    <w:bookmarkEnd w:id="39"/>
    <w:bookmarkStart w:id="40" w:name="X4eab16fb55945c31e33acdcebe087cd0a143647"/>
    <w:p>
      <w:pPr>
        <w:pStyle w:val="Heading2"/>
      </w:pPr>
      <w:r>
        <w:t xml:space="preserve">5. REGULATORY MOAT: GREATEST WHEN PERFORMANCE CANNOT BE SEPARATED FROM THE DEVICE</w:t>
      </w:r>
    </w:p>
    <w:p>
      <w:pPr>
        <w:pStyle w:val="FirstParagraph"/>
      </w:pPr>
      <w:r>
        <w:t xml:space="preserve">Inhalation is the clearest generic example. Dose delivery depends on the formulation-device system.</w:t>
      </w:r>
    </w:p>
    <w:p>
      <w:pPr>
        <w:pStyle w:val="BodyText"/>
      </w:pPr>
      <w:r>
        <w:t xml:space="preserve">A standard pen can also create regulatory work, but if several qualified off-the-shelf platforms can deliver the same dose, the barrier is lower.</w:t>
      </w:r>
    </w:p>
    <w:p>
      <w:pPr>
        <w:pStyle w:val="BodyText"/>
      </w:pPr>
      <w:r>
        <w:rPr>
          <w:b/>
          <w:bCs/>
        </w:rPr>
        <w:t xml:space="preserve">Our rule: regulatory complexity is not itself a moat if competitors can buy the same solution from the same specialist suppliers.</w:t>
      </w:r>
    </w:p>
    <w:p>
      <w:r>
        <w:pict>
          <v:rect style="width:0;height:1.5pt" o:hralign="center" o:hrstd="t" o:hr="t"/>
        </w:pict>
      </w:r>
    </w:p>
    <w:bookmarkEnd w:id="40"/>
    <w:bookmarkEnd w:id="41"/>
    <w:bookmarkStart w:id="43" w:name="X67dc1dff7b25eed391b93b59872ddd00562d0a2"/>
    <w:p>
      <w:pPr>
        <w:pStyle w:val="Heading1"/>
      </w:pPr>
      <w:r>
        <w:t xml:space="preserve">ORALS ARE FIGHTING BACK: THE BIGGEST THREAT IS TO CONVENIENCE DEVICES, NOT TO LOCAL DELIVERY</w:t>
      </w:r>
    </w:p>
    <w:p>
      <w:pPr>
        <w:pStyle w:val="FirstParagraph"/>
      </w:pPr>
      <w:r>
        <w:t xml:space="preserve">GLP-1 is the most important test case because every delivery strategy is being attempted simultaneously.</w:t>
      </w:r>
    </w:p>
    <w:p>
      <w:pPr>
        <w:pStyle w:val="BodyText"/>
      </w:pPr>
      <w:r>
        <w:t xml:space="preserve">Lilly’s Foundayo/orforglipron became FDA-approved in April 2026 as a once-daily non-peptide oral GLP-1 that can be taken without food or water restrictions. Lilly prices the self-pay entry at US$149 per month in the US.</w:t>
      </w:r>
    </w:p>
    <w:p>
      <w:pPr>
        <w:pStyle w:val="BodyText"/>
      </w:pPr>
      <w:r>
        <w:t xml:space="preserve">Novo then received European approval for once-daily oral Wegovy 25 mg in July 2026. Novo reports around 17% mean weight loss for the approved oral formulation. At the same time, Europe approved Wegovy 7.2 mg in a single-dose injection pen, with around 20.7% mean weight loss in STEP UP.</w:t>
      </w:r>
    </w:p>
    <w:p>
      <w:pPr>
        <w:pStyle w:val="BodyText"/>
      </w:pPr>
      <w:r>
        <w:t xml:space="preserve">This creates an unusually clean commercial trade-off:</w:t>
      </w:r>
    </w:p>
    <w:p>
      <w:pPr>
        <w:pStyle w:val="BodyText"/>
      </w:pPr>
      <w:r>
        <w:rPr>
          <w:b/>
          <w:bCs/>
        </w:rPr>
        <w:t xml:space="preserve">Oral:</w:t>
      </w:r>
      <w:r>
        <w:t xml:space="preserve"> </w:t>
      </w:r>
      <w:r>
        <w:t xml:space="preserve">easier administration, potentially broader primary-care adoption.</w:t>
      </w:r>
    </w:p>
    <w:p>
      <w:pPr>
        <w:pStyle w:val="BodyText"/>
      </w:pPr>
      <w:r>
        <w:rPr>
          <w:b/>
          <w:bCs/>
        </w:rPr>
        <w:t xml:space="preserve">Injection:</w:t>
      </w:r>
      <w:r>
        <w:t xml:space="preserve"> </w:t>
      </w:r>
      <w:r>
        <w:t xml:space="preserve">higher efficacy at the current top end and once-weekly rather than daily dosing.</w:t>
      </w:r>
    </w:p>
    <w:p>
      <w:pPr>
        <w:pStyle w:val="BodyText"/>
      </w:pPr>
      <w:r>
        <w:rPr>
          <w:b/>
          <w:bCs/>
        </w:rPr>
        <w:t xml:space="preserve">Longer-acting injection:</w:t>
      </w:r>
      <w:r>
        <w:t xml:space="preserve"> </w:t>
      </w:r>
      <w:r>
        <w:t xml:space="preserve">future products can reduce frequency further.</w:t>
      </w:r>
    </w:p>
    <w:p>
      <w:pPr>
        <w:pStyle w:val="BodyText"/>
      </w:pPr>
      <w:r>
        <w:t xml:space="preserve">The market therefore will not necessarily converge to one route.</w:t>
      </w:r>
    </w:p>
    <w:p>
      <w:pPr>
        <w:pStyle w:val="BodyText"/>
      </w:pPr>
      <w:r>
        <w:t xml:space="preserve">The most vulnerable device category is a weekly injection whose only advantage is that no oral molecule existed. Once an oral product achieves similar efficacy, tolerability and price, the device becomes a burden rather than a moat.</w:t>
      </w:r>
    </w:p>
    <w:p>
      <w:pPr>
        <w:pStyle w:val="BodyText"/>
      </w:pPr>
      <w:r>
        <w:t xml:space="preserve">The least vulnerable platforms are those where the device creates the clinical mechanism:</w:t>
      </w:r>
    </w:p>
    <w:p>
      <w:pPr>
        <w:pStyle w:val="Compact"/>
        <w:numPr>
          <w:ilvl w:val="0"/>
          <w:numId w:val="1015"/>
        </w:numPr>
      </w:pPr>
      <w:r>
        <w:t xml:space="preserve">inhaled local lung delivery</w:t>
      </w:r>
    </w:p>
    <w:p>
      <w:pPr>
        <w:pStyle w:val="Compact"/>
        <w:numPr>
          <w:ilvl w:val="0"/>
          <w:numId w:val="1015"/>
        </w:numPr>
      </w:pPr>
      <w:r>
        <w:t xml:space="preserve">automated insulin delivery</w:t>
      </w:r>
    </w:p>
    <w:p>
      <w:pPr>
        <w:pStyle w:val="Compact"/>
        <w:numPr>
          <w:ilvl w:val="0"/>
          <w:numId w:val="1015"/>
        </w:numPr>
      </w:pPr>
      <w:r>
        <w:t xml:space="preserve">coronary local drug delivery</w:t>
      </w:r>
    </w:p>
    <w:p>
      <w:pPr>
        <w:pStyle w:val="Compact"/>
        <w:numPr>
          <w:ilvl w:val="0"/>
          <w:numId w:val="1015"/>
        </w:numPr>
      </w:pPr>
      <w:r>
        <w:t xml:space="preserve">multi-year implants.</w:t>
      </w:r>
    </w:p>
    <w:bookmarkStart w:id="42" w:name="X2235c2ad7a5841a1e64a04cded2ca9d38399ab6"/>
    <w:p>
      <w:pPr>
        <w:pStyle w:val="Heading3"/>
      </w:pPr>
      <w:r>
        <w:t xml:space="preserve">EXHIBIT 13: GLP-1 IS THE FIRST LARGE MARKET WHERE BETTER PILLS AND BETTER DEVICES ARE COMPETING AT THE SAME TIME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Route</w:t>
            </w:r>
          </w:p>
        </w:tc>
        <w:tc>
          <w:tcPr/>
          <w:p>
            <w:pPr>
              <w:pStyle w:val="Compact"/>
            </w:pPr>
            <w:r>
              <w:t xml:space="preserve">Frequency</w:t>
            </w:r>
          </w:p>
        </w:tc>
        <w:tc>
          <w:tcPr/>
          <w:p>
            <w:pPr>
              <w:pStyle w:val="Compact"/>
            </w:pPr>
            <w:r>
              <w:t xml:space="preserve">Approx. efficacy reference</w:t>
            </w:r>
          </w:p>
        </w:tc>
        <w:tc>
          <w:tcPr/>
          <w:p>
            <w:pPr>
              <w:pStyle w:val="Compact"/>
            </w:pPr>
            <w:r>
              <w:t xml:space="preserve">Core delivery advantage</w:t>
            </w:r>
          </w:p>
        </w:tc>
      </w:tr>
      <w:tr>
        <w:tc>
          <w:tcPr/>
          <w:p>
            <w:pPr>
              <w:pStyle w:val="Compact"/>
            </w:pPr>
            <w:r>
              <w:t xml:space="preserve">Foundayo/orforglipron</w:t>
            </w:r>
          </w:p>
        </w:tc>
        <w:tc>
          <w:tcPr/>
          <w:p>
            <w:pPr>
              <w:pStyle w:val="Compact"/>
            </w:pPr>
            <w:r>
              <w:t xml:space="preserve">Oral</w:t>
            </w:r>
          </w:p>
        </w:tc>
        <w:tc>
          <w:tcPr/>
          <w:p>
            <w:pPr>
              <w:pStyle w:val="Compact"/>
            </w:pPr>
            <w:r>
              <w:t xml:space="preserve">Daily</w:t>
            </w:r>
          </w:p>
        </w:tc>
        <w:tc>
          <w:tcPr/>
          <w:p>
            <w:pPr>
              <w:pStyle w:val="Compact"/>
            </w:pPr>
            <w:r>
              <w:t xml:space="preserve">~low-teens % weight loss</w:t>
            </w:r>
          </w:p>
        </w:tc>
        <w:tc>
          <w:tcPr/>
          <w:p>
            <w:pPr>
              <w:pStyle w:val="Compact"/>
            </w:pPr>
            <w:r>
              <w:t xml:space="preserve">No injection/food restrictions</w:t>
            </w:r>
          </w:p>
        </w:tc>
      </w:tr>
      <w:tr>
        <w:tc>
          <w:tcPr/>
          <w:p>
            <w:pPr>
              <w:pStyle w:val="Compact"/>
            </w:pPr>
            <w:r>
              <w:t xml:space="preserve">Oral Wegovy 25 mg</w:t>
            </w:r>
          </w:p>
        </w:tc>
        <w:tc>
          <w:tcPr/>
          <w:p>
            <w:pPr>
              <w:pStyle w:val="Compact"/>
            </w:pPr>
            <w:r>
              <w:t xml:space="preserve">Oral peptide</w:t>
            </w:r>
          </w:p>
        </w:tc>
        <w:tc>
          <w:tcPr/>
          <w:p>
            <w:pPr>
              <w:pStyle w:val="Compact"/>
            </w:pPr>
            <w:r>
              <w:t xml:space="preserve">Daily</w:t>
            </w:r>
          </w:p>
        </w:tc>
        <w:tc>
          <w:tcPr/>
          <w:p>
            <w:pPr>
              <w:pStyle w:val="Compact"/>
            </w:pPr>
            <w:r>
              <w:t xml:space="preserve">~17%</w:t>
            </w:r>
          </w:p>
        </w:tc>
        <w:tc>
          <w:tcPr/>
          <w:p>
            <w:pPr>
              <w:pStyle w:val="Compact"/>
            </w:pPr>
            <w:r>
              <w:t xml:space="preserve">Avoids injection</w:t>
            </w:r>
          </w:p>
        </w:tc>
      </w:tr>
      <w:tr>
        <w:tc>
          <w:tcPr/>
          <w:p>
            <w:pPr>
              <w:pStyle w:val="Compact"/>
            </w:pPr>
            <w:r>
              <w:t xml:space="preserve">Weekly injectable semaglutide</w:t>
            </w:r>
          </w:p>
        </w:tc>
        <w:tc>
          <w:tcPr/>
          <w:p>
            <w:pPr>
              <w:pStyle w:val="Compact"/>
            </w:pPr>
            <w:r>
              <w:t xml:space="preserve">SC</w:t>
            </w:r>
          </w:p>
        </w:tc>
        <w:tc>
          <w:tcPr/>
          <w:p>
            <w:pPr>
              <w:pStyle w:val="Compact"/>
            </w:pPr>
            <w:r>
              <w:t xml:space="preserve">Weekly</w:t>
            </w:r>
          </w:p>
        </w:tc>
        <w:tc>
          <w:tcPr/>
          <w:p>
            <w:pPr>
              <w:pStyle w:val="Compact"/>
            </w:pPr>
            <w:r>
              <w:t xml:space="preserve">Established</w:t>
            </w:r>
          </w:p>
        </w:tc>
        <w:tc>
          <w:tcPr/>
          <w:p>
            <w:pPr>
              <w:pStyle w:val="Compact"/>
            </w:pPr>
            <w:r>
              <w:t xml:space="preserve">Frequency</w:t>
            </w:r>
          </w:p>
        </w:tc>
      </w:tr>
      <w:tr>
        <w:tc>
          <w:tcPr/>
          <w:p>
            <w:pPr>
              <w:pStyle w:val="Compact"/>
            </w:pPr>
            <w:r>
              <w:t xml:space="preserve">Wegovy 7.2 mg</w:t>
            </w:r>
          </w:p>
        </w:tc>
        <w:tc>
          <w:tcPr/>
          <w:p>
            <w:pPr>
              <w:pStyle w:val="Compact"/>
            </w:pPr>
            <w:r>
              <w:t xml:space="preserve">SC</w:t>
            </w:r>
          </w:p>
        </w:tc>
        <w:tc>
          <w:tcPr/>
          <w:p>
            <w:pPr>
              <w:pStyle w:val="Compact"/>
            </w:pPr>
            <w:r>
              <w:t xml:space="preserve">Weekly</w:t>
            </w:r>
          </w:p>
        </w:tc>
        <w:tc>
          <w:tcPr/>
          <w:p>
            <w:pPr>
              <w:pStyle w:val="Compact"/>
            </w:pPr>
            <w:r>
              <w:t xml:space="preserve">~20.7% STEP UP</w:t>
            </w:r>
          </w:p>
        </w:tc>
        <w:tc>
          <w:tcPr/>
          <w:p>
            <w:pPr>
              <w:pStyle w:val="Compact"/>
            </w:pPr>
            <w:r>
              <w:t xml:space="preserve">Higher efficacy</w:t>
            </w:r>
          </w:p>
        </w:tc>
      </w:tr>
      <w:tr>
        <w:tc>
          <w:tcPr/>
          <w:p>
            <w:pPr>
              <w:pStyle w:val="Compact"/>
            </w:pPr>
            <w:r>
              <w:t xml:space="preserve">Retatrutide</w:t>
            </w:r>
          </w:p>
        </w:tc>
        <w:tc>
          <w:tcPr/>
          <w:p>
            <w:pPr>
              <w:pStyle w:val="Compact"/>
            </w:pPr>
            <w:r>
              <w:t xml:space="preserve">SC, development</w:t>
            </w:r>
          </w:p>
        </w:tc>
        <w:tc>
          <w:tcPr/>
          <w:p>
            <w:pPr>
              <w:pStyle w:val="Compact"/>
            </w:pPr>
            <w:r>
              <w:t xml:space="preserve">Weekly</w:t>
            </w:r>
          </w:p>
        </w:tc>
        <w:tc>
          <w:tcPr/>
          <w:p>
            <w:pPr>
              <w:pStyle w:val="Compact"/>
            </w:pPr>
            <w:r>
              <w:t xml:space="preserve">&gt;20% in recent Phase III studies</w:t>
            </w:r>
          </w:p>
        </w:tc>
        <w:tc>
          <w:tcPr/>
          <w:p>
            <w:pPr>
              <w:pStyle w:val="Compact"/>
            </w:pPr>
            <w:r>
              <w:t xml:space="preserve">Multi-receptor efficacy</w:t>
            </w:r>
          </w:p>
        </w:tc>
      </w:tr>
    </w:tbl>
    <w:p>
      <w:pPr>
        <w:pStyle w:val="BodyText"/>
      </w:pPr>
      <w:r>
        <w:rPr>
          <w:b/>
          <w:bCs/>
        </w:rPr>
        <w:t xml:space="preserve">Sources:</w:t>
      </w:r>
      <w:r>
        <w:t xml:space="preserve"> </w:t>
      </w:r>
      <w:r>
        <w:t xml:space="preserve">Lilly and Novo Nordisk.</w:t>
      </w:r>
    </w:p>
    <w:p>
      <w:pPr>
        <w:pStyle w:val="BodyText"/>
      </w:pPr>
      <w:r>
        <w:rPr>
          <w:b/>
          <w:bCs/>
        </w:rPr>
        <w:t xml:space="preserve">Investor takeaway:</w:t>
      </w:r>
      <w:r>
        <w:t xml:space="preserve"> </w:t>
      </w:r>
      <w:r>
        <w:t xml:space="preserve">device adoption cannot be forecast independently of molecule innovation.</w:t>
      </w:r>
    </w:p>
    <w:p>
      <w:r>
        <w:pict>
          <v:rect style="width:0;height:1.5pt" o:hralign="center" o:hrstd="t" o:hr="t"/>
        </w:pict>
      </w:r>
    </w:p>
    <w:bookmarkEnd w:id="42"/>
    <w:bookmarkEnd w:id="43"/>
    <w:bookmarkStart w:id="45" w:name="X2668015d7bce5ba931c2f60fc761b2f1e20ab5a"/>
    <w:p>
      <w:pPr>
        <w:pStyle w:val="Heading1"/>
      </w:pPr>
      <w:r>
        <w:t xml:space="preserve">THE VALUE CHAIN: THE BEST DEVICE COMPANY MAY NEVER APPEAR ON THE DRUG LABEL</w:t>
      </w:r>
    </w:p>
    <w:p>
      <w:pPr>
        <w:pStyle w:val="FirstParagraph"/>
      </w:pPr>
      <w:r>
        <w:t xml:space="preserve">The self-injection value chain is more fragmented than investors usually assume.</w:t>
      </w:r>
    </w:p>
    <w:p>
      <w:pPr>
        <w:pStyle w:val="BodyText"/>
      </w:pPr>
      <w:r>
        <w:rPr>
          <w:b/>
          <w:bCs/>
        </w:rPr>
        <w:t xml:space="preserve">Molecule</w:t>
      </w:r>
      <w:r>
        <w:t xml:space="preserve"> </w:t>
      </w:r>
      <w:r>
        <w:t xml:space="preserve">→</w:t>
      </w:r>
      <w:r>
        <w:t xml:space="preserve"> </w:t>
      </w:r>
      <w:r>
        <w:rPr>
          <w:b/>
          <w:bCs/>
        </w:rPr>
        <w:t xml:space="preserve">formulation</w:t>
      </w:r>
      <w:r>
        <w:t xml:space="preserve"> </w:t>
      </w:r>
      <w:r>
        <w:t xml:space="preserve">→</w:t>
      </w:r>
      <w:r>
        <w:t xml:space="preserve"> </w:t>
      </w:r>
      <w:r>
        <w:rPr>
          <w:b/>
          <w:bCs/>
        </w:rPr>
        <w:t xml:space="preserve">glass/cartridge/PFS</w:t>
      </w:r>
      <w:r>
        <w:t xml:space="preserve"> </w:t>
      </w:r>
      <w:r>
        <w:t xml:space="preserve">→</w:t>
      </w:r>
      <w:r>
        <w:t xml:space="preserve"> </w:t>
      </w:r>
      <w:r>
        <w:rPr>
          <w:b/>
          <w:bCs/>
        </w:rPr>
        <w:t xml:space="preserve">elastomer</w:t>
      </w:r>
      <w:r>
        <w:t xml:space="preserve"> </w:t>
      </w:r>
      <w:r>
        <w:t xml:space="preserve">→</w:t>
      </w:r>
      <w:r>
        <w:t xml:space="preserve"> </w:t>
      </w:r>
      <w:r>
        <w:rPr>
          <w:b/>
          <w:bCs/>
        </w:rPr>
        <w:t xml:space="preserve">needle</w:t>
      </w:r>
      <w:r>
        <w:t xml:space="preserve"> </w:t>
      </w:r>
      <w:r>
        <w:t xml:space="preserve">→</w:t>
      </w:r>
      <w:r>
        <w:t xml:space="preserve"> </w:t>
      </w:r>
      <w:r>
        <w:rPr>
          <w:b/>
          <w:bCs/>
        </w:rPr>
        <w:t xml:space="preserve">drive mechanism</w:t>
      </w:r>
      <w:r>
        <w:t xml:space="preserve"> </w:t>
      </w:r>
      <w:r>
        <w:t xml:space="preserve">→</w:t>
      </w:r>
      <w:r>
        <w:t xml:space="preserve"> </w:t>
      </w:r>
      <w:r>
        <w:rPr>
          <w:b/>
          <w:bCs/>
        </w:rPr>
        <w:t xml:space="preserve">plastic housing</w:t>
      </w:r>
      <w:r>
        <w:t xml:space="preserve"> </w:t>
      </w:r>
      <w:r>
        <w:t xml:space="preserve">→</w:t>
      </w:r>
      <w:r>
        <w:t xml:space="preserve"> </w:t>
      </w:r>
      <w:r>
        <w:rPr>
          <w:b/>
          <w:bCs/>
        </w:rPr>
        <w:t xml:space="preserve">electronics</w:t>
      </w:r>
      <w:r>
        <w:t xml:space="preserve"> </w:t>
      </w:r>
      <w:r>
        <w:t xml:space="preserve">→</w:t>
      </w:r>
      <w:r>
        <w:t xml:space="preserve"> </w:t>
      </w:r>
      <w:r>
        <w:rPr>
          <w:b/>
          <w:bCs/>
        </w:rPr>
        <w:t xml:space="preserve">assembly</w:t>
      </w:r>
      <w:r>
        <w:t xml:space="preserve"> </w:t>
      </w:r>
      <w:r>
        <w:t xml:space="preserve">→</w:t>
      </w:r>
      <w:r>
        <w:t xml:space="preserve"> </w:t>
      </w:r>
      <w:r>
        <w:rPr>
          <w:b/>
          <w:bCs/>
        </w:rPr>
        <w:t xml:space="preserve">fill-finish</w:t>
      </w:r>
      <w:r>
        <w:t xml:space="preserve"> </w:t>
      </w:r>
      <w:r>
        <w:t xml:space="preserve">→</w:t>
      </w:r>
      <w:r>
        <w:t xml:space="preserve"> </w:t>
      </w:r>
      <w:r>
        <w:rPr>
          <w:b/>
          <w:bCs/>
        </w:rPr>
        <w:t xml:space="preserve">packaging</w:t>
      </w:r>
      <w:r>
        <w:t xml:space="preserve"> </w:t>
      </w:r>
      <w:r>
        <w:t xml:space="preserve">→</w:t>
      </w:r>
      <w:r>
        <w:t xml:space="preserve"> </w:t>
      </w:r>
      <w:r>
        <w:rPr>
          <w:b/>
          <w:bCs/>
        </w:rPr>
        <w:t xml:space="preserve">commercialisation/support</w:t>
      </w:r>
    </w:p>
    <w:p>
      <w:pPr>
        <w:pStyle w:val="BodyText"/>
      </w:pPr>
      <w:r>
        <w:t xml:space="preserve">Stevanato alone estimates</w:t>
      </w:r>
      <w:r>
        <w:t xml:space="preserve"> </w:t>
      </w:r>
      <w:r>
        <w:rPr>
          <w:b/>
          <w:bCs/>
        </w:rPr>
        <w:t xml:space="preserve">US$4.7bn</w:t>
      </w:r>
      <w:r>
        <w:t xml:space="preserve"> </w:t>
      </w:r>
      <w:r>
        <w:t xml:space="preserve">of direct opportunity in containment and</w:t>
      </w:r>
      <w:r>
        <w:t xml:space="preserve"> </w:t>
      </w:r>
      <w:r>
        <w:rPr>
          <w:b/>
          <w:bCs/>
        </w:rPr>
        <w:t xml:space="preserve">US$3.6bn</w:t>
      </w:r>
      <w:r>
        <w:t xml:space="preserve"> </w:t>
      </w:r>
      <w:r>
        <w:t xml:space="preserve">in DDS. The two markets grow for related but different reasons.</w:t>
      </w:r>
    </w:p>
    <w:p>
      <w:pPr>
        <w:pStyle w:val="BodyText"/>
      </w:pPr>
      <w:r>
        <w:t xml:space="preserve">The supplier positions are therefore important.</w:t>
      </w:r>
    </w:p>
    <w:p>
      <w:pPr>
        <w:pStyle w:val="BodyText"/>
      </w:pPr>
      <w:r>
        <w:rPr>
          <w:b/>
          <w:bCs/>
        </w:rPr>
        <w:t xml:space="preserve">SHL Medical:</w:t>
      </w:r>
      <w:r>
        <w:t xml:space="preserve"> </w:t>
      </w:r>
      <w:r>
        <w:t xml:space="preserve">autoinjector platforms.</w:t>
      </w:r>
    </w:p>
    <w:p>
      <w:pPr>
        <w:pStyle w:val="BodyText"/>
      </w:pPr>
      <w:r>
        <w:rPr>
          <w:b/>
          <w:bCs/>
        </w:rPr>
        <w:t xml:space="preserve">Ypsomed:</w:t>
      </w:r>
      <w:r>
        <w:t xml:space="preserve"> </w:t>
      </w:r>
      <w:r>
        <w:t xml:space="preserve">pens, autoinjectors and up-to-10 mL wearable injection.</w:t>
      </w:r>
    </w:p>
    <w:p>
      <w:pPr>
        <w:pStyle w:val="BodyText"/>
      </w:pPr>
      <w:r>
        <w:rPr>
          <w:b/>
          <w:bCs/>
        </w:rPr>
        <w:t xml:space="preserve">Stevanato:</w:t>
      </w:r>
      <w:r>
        <w:t xml:space="preserve"> </w:t>
      </w:r>
      <w:r>
        <w:t xml:space="preserve">primary containers, proprietary/partnered delivery devices and assembly equipment.</w:t>
      </w:r>
    </w:p>
    <w:p>
      <w:pPr>
        <w:pStyle w:val="BodyText"/>
      </w:pPr>
      <w:r>
        <w:rPr>
          <w:b/>
          <w:bCs/>
        </w:rPr>
        <w:t xml:space="preserve">Gerresheimer:</w:t>
      </w:r>
      <w:r>
        <w:t xml:space="preserve"> </w:t>
      </w:r>
      <w:r>
        <w:t xml:space="preserve">syringes, pens, autoinjectors, inhalers and on-body systems.</w:t>
      </w:r>
    </w:p>
    <w:p>
      <w:pPr>
        <w:pStyle w:val="BodyText"/>
      </w:pPr>
      <w:r>
        <w:rPr>
          <w:b/>
          <w:bCs/>
        </w:rPr>
        <w:t xml:space="preserve">BD:</w:t>
      </w:r>
      <w:r>
        <w:t xml:space="preserve"> </w:t>
      </w:r>
      <w:r>
        <w:t xml:space="preserve">syringes, needles, drug-containment and delivery systems.</w:t>
      </w:r>
    </w:p>
    <w:p>
      <w:pPr>
        <w:pStyle w:val="BodyText"/>
      </w:pPr>
      <w:r>
        <w:rPr>
          <w:b/>
          <w:bCs/>
        </w:rPr>
        <w:t xml:space="preserve">West:</w:t>
      </w:r>
      <w:r>
        <w:t xml:space="preserve"> </w:t>
      </w:r>
      <w:r>
        <w:t xml:space="preserve">elastomer/containment plus selected device exposure.</w:t>
      </w:r>
    </w:p>
    <w:p>
      <w:pPr>
        <w:pStyle w:val="BodyText"/>
      </w:pPr>
      <w:r>
        <w:rPr>
          <w:b/>
          <w:bCs/>
        </w:rPr>
        <w:t xml:space="preserve">Nemera / Phillips-Medisize:</w:t>
      </w:r>
      <w:r>
        <w:t xml:space="preserve"> </w:t>
      </w:r>
      <w:r>
        <w:t xml:space="preserve">development and contract device engineering.</w:t>
      </w:r>
    </w:p>
    <w:p>
      <w:pPr>
        <w:pStyle w:val="BodyText"/>
      </w:pPr>
      <w:r>
        <w:rPr>
          <w:b/>
          <w:bCs/>
        </w:rPr>
        <w:t xml:space="preserve">Aptar:</w:t>
      </w:r>
      <w:r>
        <w:t xml:space="preserve"> </w:t>
      </w:r>
      <w:r>
        <w:t xml:space="preserve">inhalation and nasal delivery.</w:t>
      </w:r>
    </w:p>
    <w:p>
      <w:pPr>
        <w:pStyle w:val="BodyText"/>
      </w:pPr>
      <w:r>
        <w:rPr>
          <w:b/>
          <w:bCs/>
        </w:rPr>
        <w:t xml:space="preserve">The key investment conclusion is that drug-device expertise can be rented.</w:t>
      </w:r>
      <w:r>
        <w:t xml:space="preserve"> </w:t>
      </w:r>
      <w:r>
        <w:t xml:space="preserve">Pharma companies do not have to build an autoinjector from first principles.</w:t>
      </w:r>
    </w:p>
    <w:p>
      <w:pPr>
        <w:pStyle w:val="BodyText"/>
      </w:pPr>
      <w:r>
        <w:t xml:space="preserve">This reduces the barrier for the molecule owner but increases supplier concentration risk. A device supplier can be strategically critical even while capturing only a small percentage of drug revenue.</w:t>
      </w:r>
    </w:p>
    <w:bookmarkStart w:id="44" w:name="X6465f1f5a425d982e033100b0d9d6b2579ffa36"/>
    <w:p>
      <w:pPr>
        <w:pStyle w:val="Heading3"/>
      </w:pPr>
      <w:r>
        <w:t xml:space="preserve">EXHIBIT 14: THE VALUE CHAIN SHOWS WHY</w:t>
      </w:r>
      <w:r>
        <w:t xml:space="preserve"> </w:t>
      </w:r>
      <w:r>
        <w:t xml:space="preserve">“WE MANUFACTURE THE DRUG”</w:t>
      </w:r>
      <w:r>
        <w:t xml:space="preserve"> </w:t>
      </w:r>
      <w:r>
        <w:t xml:space="preserve">DOES NOT MEAN</w:t>
      </w:r>
      <w:r>
        <w:t xml:space="preserve"> </w:t>
      </w:r>
      <w:r>
        <w:t xml:space="preserve">“WE OWN THE DEVICE”</w:t>
      </w:r>
    </w:p>
    <w:p>
      <w:pPr>
        <w:pStyle w:val="FirstParagraph"/>
      </w:pPr>
      <w:r>
        <w:rPr>
          <w:b/>
          <w:bCs/>
        </w:rPr>
        <w:t xml:space="preserve">Chart:</w:t>
      </w:r>
      <w:r>
        <w:t xml:space="preserve"> </w:t>
      </w:r>
      <w:r>
        <w:t xml:space="preserve">Horizontal value-chain schematic.</w:t>
      </w:r>
    </w:p>
    <w:p>
      <w:pPr>
        <w:pStyle w:val="BodyText"/>
      </w:pPr>
      <w:r>
        <w:t xml:space="preserve">Place companies underneath:</w:t>
      </w:r>
    </w:p>
    <w:p>
      <w:pPr>
        <w:pStyle w:val="Compact"/>
        <w:numPr>
          <w:ilvl w:val="0"/>
          <w:numId w:val="1016"/>
        </w:numPr>
      </w:pPr>
      <w:r>
        <w:t xml:space="preserve">Molecule/formulation: Novo, Lilly, Indian pharma</w:t>
      </w:r>
    </w:p>
    <w:p>
      <w:pPr>
        <w:pStyle w:val="Compact"/>
        <w:numPr>
          <w:ilvl w:val="0"/>
          <w:numId w:val="1016"/>
        </w:numPr>
      </w:pPr>
      <w:r>
        <w:t xml:space="preserve">Containers: BD, Stevanato, Gerresheimer, West</w:t>
      </w:r>
    </w:p>
    <w:p>
      <w:pPr>
        <w:pStyle w:val="Compact"/>
        <w:numPr>
          <w:ilvl w:val="0"/>
          <w:numId w:val="1016"/>
        </w:numPr>
      </w:pPr>
      <w:r>
        <w:t xml:space="preserve">Devices: SHL, Ypsomed, Stevanato, BD, Nemera</w:t>
      </w:r>
    </w:p>
    <w:p>
      <w:pPr>
        <w:pStyle w:val="Compact"/>
        <w:numPr>
          <w:ilvl w:val="0"/>
          <w:numId w:val="1016"/>
        </w:numPr>
      </w:pPr>
      <w:r>
        <w:t xml:space="preserve">Inhalation: Aptar + pharma proprietary platforms</w:t>
      </w:r>
    </w:p>
    <w:p>
      <w:pPr>
        <w:pStyle w:val="Compact"/>
        <w:numPr>
          <w:ilvl w:val="0"/>
          <w:numId w:val="1016"/>
        </w:numPr>
      </w:pPr>
      <w:r>
        <w:t xml:space="preserve">Assembly/CDMO: Phillips-Medisize, Gerresheimer, Stevanato</w:t>
      </w:r>
    </w:p>
    <w:p>
      <w:pPr>
        <w:pStyle w:val="Compact"/>
        <w:numPr>
          <w:ilvl w:val="0"/>
          <w:numId w:val="1016"/>
        </w:numPr>
      </w:pPr>
      <w:r>
        <w:t xml:space="preserve">Commercialisation: pharma company</w:t>
      </w:r>
    </w:p>
    <w:p>
      <w:pPr>
        <w:pStyle w:val="FirstParagraph"/>
      </w:pPr>
      <w:r>
        <w:rPr>
          <w:b/>
          <w:bCs/>
        </w:rPr>
        <w:t xml:space="preserve">What it proves:</w:t>
      </w:r>
      <w:r>
        <w:t xml:space="preserve"> </w:t>
      </w:r>
      <w:r>
        <w:t xml:space="preserve">ownership can change at every step.</w:t>
      </w:r>
    </w:p>
    <w:p>
      <w:r>
        <w:pict>
          <v:rect style="width:0;height:1.5pt" o:hralign="center" o:hrstd="t" o:hr="t"/>
        </w:pict>
      </w:r>
    </w:p>
    <w:bookmarkEnd w:id="44"/>
    <w:bookmarkEnd w:id="45"/>
    <w:bookmarkStart w:id="47" w:name="X3848bd41fa9bab36ceaf5e8482014dfab02dd1b"/>
    <w:p>
      <w:pPr>
        <w:pStyle w:val="Heading1"/>
      </w:pPr>
      <w:r>
        <w:t xml:space="preserve">INDIA CAPABILITY MAP: PRODUCT PRESENCE MATERIALLY OVERSTATES DEVICE OWNERSHIP</w:t>
      </w:r>
    </w:p>
    <w:p>
      <w:pPr>
        <w:pStyle w:val="FirstParagraph"/>
      </w:pPr>
      <w:r>
        <w:t xml:space="preserve">We classify capabilities using six definitions:</w:t>
      </w:r>
    </w:p>
    <w:p>
      <w:pPr>
        <w:pStyle w:val="BodyText"/>
      </w:pPr>
      <w:r>
        <w:rPr>
          <w:b/>
          <w:bCs/>
        </w:rPr>
        <w:t xml:space="preserve">Owned/developed:</w:t>
      </w:r>
      <w:r>
        <w:t xml:space="preserve"> </w:t>
      </w:r>
      <w:r>
        <w:t xml:space="preserve">company has evidence of internal platform/product development.</w:t>
      </w:r>
    </w:p>
    <w:p>
      <w:pPr>
        <w:pStyle w:val="BodyText"/>
      </w:pPr>
      <w:r>
        <w:rPr>
          <w:b/>
          <w:bCs/>
        </w:rPr>
        <w:t xml:space="preserve">Licensed:</w:t>
      </w:r>
      <w:r>
        <w:t xml:space="preserve"> </w:t>
      </w:r>
      <w:r>
        <w:t xml:space="preserve">another company owns the underlying product/platform.</w:t>
      </w:r>
    </w:p>
    <w:p>
      <w:pPr>
        <w:pStyle w:val="BodyText"/>
      </w:pPr>
      <w:r>
        <w:rPr>
          <w:b/>
          <w:bCs/>
        </w:rPr>
        <w:t xml:space="preserve">Partnered:</w:t>
      </w:r>
      <w:r>
        <w:t xml:space="preserve"> </w:t>
      </w:r>
      <w:r>
        <w:t xml:space="preserve">shared development.</w:t>
      </w:r>
    </w:p>
    <w:p>
      <w:pPr>
        <w:pStyle w:val="BodyText"/>
      </w:pPr>
      <w:r>
        <w:rPr>
          <w:b/>
          <w:bCs/>
        </w:rPr>
        <w:t xml:space="preserve">Manufacturing:</w:t>
      </w:r>
      <w:r>
        <w:t xml:space="preserve"> </w:t>
      </w:r>
      <w:r>
        <w:t xml:space="preserve">company produces or assembles the format.</w:t>
      </w:r>
    </w:p>
    <w:p>
      <w:pPr>
        <w:pStyle w:val="BodyText"/>
      </w:pPr>
      <w:r>
        <w:rPr>
          <w:b/>
          <w:bCs/>
        </w:rPr>
        <w:t xml:space="preserve">Commercialisation:</w:t>
      </w:r>
      <w:r>
        <w:t xml:space="preserve"> </w:t>
      </w:r>
      <w:r>
        <w:t xml:space="preserve">company sells a parent’s/partner’s device product.</w:t>
      </w:r>
    </w:p>
    <w:p>
      <w:pPr>
        <w:pStyle w:val="BodyText"/>
      </w:pPr>
      <w:r>
        <w:rPr>
          <w:b/>
          <w:bCs/>
        </w:rPr>
        <w:t xml:space="preserve">Not identified:</w:t>
      </w:r>
      <w:r>
        <w:t xml:space="preserve"> </w:t>
      </w:r>
      <w:r>
        <w:t xml:space="preserve">no sufficient current public evidence.</w:t>
      </w:r>
    </w:p>
    <w:bookmarkStart w:id="46" w:name="exhibit-15-indias-device-capability-map"/>
    <w:p>
      <w:pPr>
        <w:pStyle w:val="Heading3"/>
      </w:pPr>
      <w:r>
        <w:t xml:space="preserve">EXHIBIT 15: INDIA’S DEVICE CAPABILITY MAP</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Company</w:t>
            </w:r>
          </w:p>
        </w:tc>
        <w:tc>
          <w:tcPr/>
          <w:p>
            <w:pPr>
              <w:pStyle w:val="Compact"/>
            </w:pPr>
            <w:r>
              <w:t xml:space="preserve">Inhalation</w:t>
            </w:r>
          </w:p>
        </w:tc>
        <w:tc>
          <w:tcPr/>
          <w:p>
            <w:pPr>
              <w:pStyle w:val="Compact"/>
            </w:pPr>
            <w:r>
              <w:t xml:space="preserve">Pen/GLP-1</w:t>
            </w:r>
          </w:p>
        </w:tc>
        <w:tc>
          <w:tcPr/>
          <w:p>
            <w:pPr>
              <w:pStyle w:val="Compact"/>
            </w:pPr>
            <w:r>
              <w:t xml:space="preserve">PFS/Injectable</w:t>
            </w:r>
          </w:p>
        </w:tc>
        <w:tc>
          <w:tcPr/>
          <w:p>
            <w:pPr>
              <w:pStyle w:val="Compact"/>
            </w:pPr>
            <w:r>
              <w:t xml:space="preserve">Transdermal</w:t>
            </w:r>
          </w:p>
        </w:tc>
        <w:tc>
          <w:tcPr/>
          <w:p>
            <w:pPr>
              <w:pStyle w:val="Compact"/>
            </w:pPr>
            <w:r>
              <w:t xml:space="preserve">Pumps</w:t>
            </w:r>
          </w:p>
        </w:tc>
        <w:tc>
          <w:tcPr/>
          <w:p>
            <w:pPr>
              <w:pStyle w:val="Compact"/>
            </w:pPr>
            <w:r>
              <w:t xml:space="preserve">Implant/LARC</w:t>
            </w:r>
          </w:p>
        </w:tc>
        <w:tc>
          <w:tcPr/>
          <w:p>
            <w:pPr>
              <w:pStyle w:val="Compact"/>
            </w:pPr>
            <w:r>
              <w:t xml:space="preserve">Our conclusion</w:t>
            </w:r>
          </w:p>
        </w:tc>
      </w:tr>
      <w:tr>
        <w:tc>
          <w:tcPr/>
          <w:p>
            <w:pPr>
              <w:pStyle w:val="Compact"/>
            </w:pPr>
            <w:r>
              <w:rPr>
                <w:b/>
                <w:bCs/>
              </w:rPr>
              <w:t xml:space="preserve">Zydus</w:t>
            </w:r>
          </w:p>
        </w:tc>
        <w:tc>
          <w:tcPr/>
          <w:p>
            <w:pPr>
              <w:pStyle w:val="Compact"/>
            </w:pPr>
            <w:r>
              <w:t xml:space="preserve">Medium</w:t>
            </w:r>
          </w:p>
        </w:tc>
        <w:tc>
          <w:tcPr/>
          <w:p>
            <w:pPr>
              <w:pStyle w:val="Compact"/>
            </w:pPr>
            <w:r>
              <w:t xml:space="preserve">Developed product platform</w:t>
            </w:r>
          </w:p>
        </w:tc>
        <w:tc>
          <w:tcPr/>
          <w:p>
            <w:pPr>
              <w:pStyle w:val="Compact"/>
            </w:pPr>
            <w:r>
              <w:t xml:space="preserve">Yes</w:t>
            </w:r>
          </w:p>
        </w:tc>
        <w:tc>
          <w:tcPr/>
          <w:p>
            <w:pPr>
              <w:pStyle w:val="Compact"/>
            </w:pPr>
            <w:r>
              <w:rPr>
                <w:b/>
                <w:bCs/>
              </w:rPr>
              <w:t xml:space="preserve">High</w:t>
            </w:r>
          </w:p>
        </w:tc>
        <w:tc>
          <w:tcPr/>
          <w:p>
            <w:pPr>
              <w:pStyle w:val="Compact"/>
            </w:pPr>
            <w:r>
              <w:t xml:space="preserve">None identified</w:t>
            </w:r>
          </w:p>
        </w:tc>
        <w:tc>
          <w:tcPr/>
          <w:p>
            <w:pPr>
              <w:pStyle w:val="Compact"/>
            </w:pPr>
            <w:r>
              <w:t xml:space="preserve">Limited</w:t>
            </w:r>
          </w:p>
        </w:tc>
        <w:tc>
          <w:tcPr/>
          <w:p>
            <w:pPr>
              <w:pStyle w:val="Compact"/>
            </w:pPr>
            <w:r>
              <w:t xml:space="preserve">Broadest current exposure</w:t>
            </w:r>
          </w:p>
        </w:tc>
      </w:tr>
      <w:tr>
        <w:tc>
          <w:tcPr/>
          <w:p>
            <w:pPr>
              <w:pStyle w:val="Compact"/>
            </w:pPr>
            <w:r>
              <w:rPr>
                <w:b/>
                <w:bCs/>
              </w:rPr>
              <w:t xml:space="preserve">Lupin</w:t>
            </w:r>
          </w:p>
        </w:tc>
        <w:tc>
          <w:tcPr/>
          <w:p>
            <w:pPr>
              <w:pStyle w:val="Compact"/>
            </w:pPr>
            <w:r>
              <w:rPr>
                <w:b/>
                <w:bCs/>
              </w:rPr>
              <w:t xml:space="preserve">High</w:t>
            </w:r>
          </w:p>
        </w:tc>
        <w:tc>
          <w:tcPr/>
          <w:p>
            <w:pPr>
              <w:pStyle w:val="Compact"/>
            </w:pPr>
            <w:r>
              <w:t xml:space="preserve">Licensed from Zydus</w:t>
            </w:r>
          </w:p>
        </w:tc>
        <w:tc>
          <w:tcPr/>
          <w:p>
            <w:pPr>
              <w:pStyle w:val="Compact"/>
            </w:pPr>
            <w:r>
              <w:t xml:space="preserve">High complex injectable</w:t>
            </w:r>
          </w:p>
        </w:tc>
        <w:tc>
          <w:tcPr/>
          <w:p>
            <w:pPr>
              <w:pStyle w:val="Compact"/>
            </w:pPr>
            <w:r>
              <w:t xml:space="preserve">Limited</w:t>
            </w:r>
          </w:p>
        </w:tc>
        <w:tc>
          <w:tcPr/>
          <w:p>
            <w:pPr>
              <w:pStyle w:val="Compact"/>
            </w:pPr>
            <w:r>
              <w:t xml:space="preserve">None</w:t>
            </w:r>
          </w:p>
        </w:tc>
        <w:tc>
          <w:tcPr/>
          <w:p>
            <w:pPr>
              <w:pStyle w:val="Compact"/>
            </w:pPr>
            <w:r>
              <w:t xml:space="preserve">None</w:t>
            </w:r>
          </w:p>
        </w:tc>
        <w:tc>
          <w:tcPr/>
          <w:p>
            <w:pPr>
              <w:pStyle w:val="Compact"/>
            </w:pPr>
            <w:r>
              <w:t xml:space="preserve">Best respiratory capability</w:t>
            </w:r>
          </w:p>
        </w:tc>
      </w:tr>
      <w:tr>
        <w:tc>
          <w:tcPr/>
          <w:p>
            <w:pPr>
              <w:pStyle w:val="Compact"/>
            </w:pPr>
            <w:r>
              <w:rPr>
                <w:b/>
                <w:bCs/>
              </w:rPr>
              <w:t xml:space="preserve">Sun</w:t>
            </w:r>
          </w:p>
        </w:tc>
        <w:tc>
          <w:tcPr/>
          <w:p>
            <w:pPr>
              <w:pStyle w:val="Compact"/>
            </w:pPr>
            <w:r>
              <w:t xml:space="preserve">Limited strategic exposure</w:t>
            </w:r>
          </w:p>
        </w:tc>
        <w:tc>
          <w:tcPr/>
          <w:p>
            <w:pPr>
              <w:pStyle w:val="Compact"/>
            </w:pPr>
            <w:r>
              <w:t xml:space="preserve">External device supplier</w:t>
            </w:r>
          </w:p>
        </w:tc>
        <w:tc>
          <w:tcPr/>
          <w:p>
            <w:pPr>
              <w:pStyle w:val="Compact"/>
            </w:pPr>
            <w:r>
              <w:t xml:space="preserve">High formulation/sterile</w:t>
            </w:r>
          </w:p>
        </w:tc>
        <w:tc>
          <w:tcPr/>
          <w:p>
            <w:pPr>
              <w:pStyle w:val="Compact"/>
            </w:pPr>
            <w:r>
              <w:t xml:space="preserve">Limited</w:t>
            </w:r>
          </w:p>
        </w:tc>
        <w:tc>
          <w:tcPr/>
          <w:p>
            <w:pPr>
              <w:pStyle w:val="Compact"/>
            </w:pPr>
            <w:r>
              <w:t xml:space="preserve">None</w:t>
            </w:r>
          </w:p>
        </w:tc>
        <w:tc>
          <w:tcPr/>
          <w:p>
            <w:pPr>
              <w:pStyle w:val="Compact"/>
            </w:pPr>
            <w:r>
              <w:t xml:space="preserve">Organon pending</w:t>
            </w:r>
          </w:p>
        </w:tc>
        <w:tc>
          <w:tcPr/>
          <w:p>
            <w:pPr>
              <w:pStyle w:val="Compact"/>
            </w:pPr>
            <w:r>
              <w:t xml:space="preserve">Device-light today</w:t>
            </w:r>
          </w:p>
        </w:tc>
      </w:tr>
      <w:tr>
        <w:tc>
          <w:tcPr/>
          <w:p>
            <w:pPr>
              <w:pStyle w:val="Compact"/>
            </w:pPr>
            <w:r>
              <w:rPr>
                <w:b/>
                <w:bCs/>
              </w:rPr>
              <w:t xml:space="preserve">Cipla</w:t>
            </w:r>
          </w:p>
        </w:tc>
        <w:tc>
          <w:tcPr/>
          <w:p>
            <w:pPr>
              <w:pStyle w:val="Compact"/>
            </w:pPr>
            <w:r>
              <w:rPr>
                <w:b/>
                <w:bCs/>
              </w:rPr>
              <w:t xml:space="preserve">High</w:t>
            </w:r>
          </w:p>
        </w:tc>
        <w:tc>
          <w:tcPr/>
          <w:p>
            <w:pPr>
              <w:pStyle w:val="Compact"/>
            </w:pPr>
            <w:r>
              <w:t xml:space="preserve">Limited</w:t>
            </w:r>
          </w:p>
        </w:tc>
        <w:tc>
          <w:tcPr/>
          <w:p>
            <w:pPr>
              <w:pStyle w:val="Compact"/>
            </w:pPr>
            <w:r>
              <w:t xml:space="preserve">Some</w:t>
            </w:r>
          </w:p>
        </w:tc>
        <w:tc>
          <w:tcPr/>
          <w:p>
            <w:pPr>
              <w:pStyle w:val="Compact"/>
            </w:pPr>
            <w:r>
              <w:t xml:space="preserve">Limited</w:t>
            </w:r>
          </w:p>
        </w:tc>
        <w:tc>
          <w:tcPr/>
          <w:p>
            <w:pPr>
              <w:pStyle w:val="Compact"/>
            </w:pPr>
            <w:r>
              <w:t xml:space="preserve">None</w:t>
            </w:r>
          </w:p>
        </w:tc>
        <w:tc>
          <w:tcPr/>
          <w:p>
            <w:pPr>
              <w:pStyle w:val="Compact"/>
            </w:pPr>
            <w:r>
              <w:t xml:space="preserve">None</w:t>
            </w:r>
          </w:p>
        </w:tc>
        <w:tc>
          <w:tcPr/>
          <w:p>
            <w:pPr>
              <w:pStyle w:val="Compact"/>
            </w:pPr>
            <w:r>
              <w:t xml:space="preserve">Respiratory specialist</w:t>
            </w:r>
          </w:p>
        </w:tc>
      </w:tr>
      <w:tr>
        <w:tc>
          <w:tcPr/>
          <w:p>
            <w:pPr>
              <w:pStyle w:val="Compact"/>
            </w:pPr>
            <w:r>
              <w:rPr>
                <w:b/>
                <w:bCs/>
              </w:rPr>
              <w:t xml:space="preserve">Glenmark</w:t>
            </w:r>
          </w:p>
        </w:tc>
        <w:tc>
          <w:tcPr/>
          <w:p>
            <w:pPr>
              <w:pStyle w:val="Compact"/>
            </w:pPr>
            <w:r>
              <w:rPr>
                <w:b/>
                <w:bCs/>
              </w:rPr>
              <w:t xml:space="preserve">High</w:t>
            </w:r>
          </w:p>
        </w:tc>
        <w:tc>
          <w:tcPr/>
          <w:p>
            <w:pPr>
              <w:pStyle w:val="Compact"/>
            </w:pPr>
            <w:r>
              <w:t xml:space="preserve">Limited</w:t>
            </w:r>
          </w:p>
        </w:tc>
        <w:tc>
          <w:tcPr/>
          <w:p>
            <w:pPr>
              <w:pStyle w:val="Compact"/>
            </w:pPr>
            <w:r>
              <w:t xml:space="preserve">Some</w:t>
            </w:r>
          </w:p>
        </w:tc>
        <w:tc>
          <w:tcPr/>
          <w:p>
            <w:pPr>
              <w:pStyle w:val="Compact"/>
            </w:pPr>
            <w:r>
              <w:t xml:space="preserve">Limited</w:t>
            </w:r>
          </w:p>
        </w:tc>
        <w:tc>
          <w:tcPr/>
          <w:p>
            <w:pPr>
              <w:pStyle w:val="Compact"/>
            </w:pPr>
            <w:r>
              <w:t xml:space="preserve">None</w:t>
            </w:r>
          </w:p>
        </w:tc>
        <w:tc>
          <w:tcPr/>
          <w:p>
            <w:pPr>
              <w:pStyle w:val="Compact"/>
            </w:pPr>
            <w:r>
              <w:t xml:space="preserve">None</w:t>
            </w:r>
          </w:p>
        </w:tc>
        <w:tc>
          <w:tcPr/>
          <w:p>
            <w:pPr>
              <w:pStyle w:val="Compact"/>
            </w:pPr>
            <w:r>
              <w:t xml:space="preserve">Respiratory specialist</w:t>
            </w:r>
          </w:p>
        </w:tc>
      </w:tr>
      <w:tr>
        <w:tc>
          <w:tcPr/>
          <w:p>
            <w:pPr>
              <w:pStyle w:val="Compact"/>
            </w:pPr>
            <w:r>
              <w:rPr>
                <w:b/>
                <w:bCs/>
              </w:rPr>
              <w:t xml:space="preserve">Torrent</w:t>
            </w:r>
          </w:p>
        </w:tc>
        <w:tc>
          <w:tcPr/>
          <w:p>
            <w:pPr>
              <w:pStyle w:val="Compact"/>
            </w:pPr>
            <w:r>
              <w:t xml:space="preserve">Limited</w:t>
            </w:r>
          </w:p>
        </w:tc>
        <w:tc>
          <w:tcPr/>
          <w:p>
            <w:pPr>
              <w:pStyle w:val="Compact"/>
            </w:pPr>
            <w:r>
              <w:t xml:space="preserve">No material evidence</w:t>
            </w:r>
          </w:p>
        </w:tc>
        <w:tc>
          <w:tcPr/>
          <w:p>
            <w:pPr>
              <w:pStyle w:val="Compact"/>
            </w:pPr>
            <w:r>
              <w:t xml:space="preserve">LAI/PFS</w:t>
            </w:r>
          </w:p>
        </w:tc>
        <w:tc>
          <w:tcPr/>
          <w:p>
            <w:pPr>
              <w:pStyle w:val="Compact"/>
            </w:pPr>
            <w:r>
              <w:t xml:space="preserve">No current franchise identified</w:t>
            </w:r>
          </w:p>
        </w:tc>
        <w:tc>
          <w:tcPr/>
          <w:p>
            <w:pPr>
              <w:pStyle w:val="Compact"/>
            </w:pPr>
            <w:r>
              <w:t xml:space="preserve">None</w:t>
            </w:r>
          </w:p>
        </w:tc>
        <w:tc>
          <w:tcPr/>
          <w:p>
            <w:pPr>
              <w:pStyle w:val="Compact"/>
            </w:pPr>
            <w:r>
              <w:t xml:space="preserve">None</w:t>
            </w:r>
          </w:p>
        </w:tc>
        <w:tc>
          <w:tcPr/>
          <w:p>
            <w:pPr>
              <w:pStyle w:val="Compact"/>
            </w:pPr>
            <w:r>
              <w:t xml:space="preserve">Do not force patch thesis</w:t>
            </w:r>
          </w:p>
        </w:tc>
      </w:tr>
      <w:tr>
        <w:tc>
          <w:tcPr/>
          <w:p>
            <w:pPr>
              <w:pStyle w:val="Compact"/>
            </w:pPr>
            <w:r>
              <w:rPr>
                <w:b/>
                <w:bCs/>
              </w:rPr>
              <w:t xml:space="preserve">GSK India</w:t>
            </w:r>
          </w:p>
        </w:tc>
        <w:tc>
          <w:tcPr/>
          <w:p>
            <w:pPr>
              <w:pStyle w:val="Compact"/>
            </w:pPr>
            <w:r>
              <w:t xml:space="preserve">Commercialises global GSK platform</w:t>
            </w:r>
          </w:p>
        </w:tc>
        <w:tc>
          <w:tcPr/>
          <w:p>
            <w:pPr>
              <w:pStyle w:val="Compact"/>
            </w:pPr>
            <w:r>
              <w:t xml:space="preserve">Parent exposure</w:t>
            </w:r>
          </w:p>
        </w:tc>
        <w:tc>
          <w:tcPr/>
          <w:p>
            <w:pPr>
              <w:pStyle w:val="Compact"/>
            </w:pPr>
            <w:r>
              <w:t xml:space="preserve">Parent exposure</w:t>
            </w:r>
          </w:p>
        </w:tc>
        <w:tc>
          <w:tcPr/>
          <w:p>
            <w:pPr>
              <w:pStyle w:val="Compact"/>
            </w:pPr>
            <w:r>
              <w:t xml:space="preserve">Parent</w:t>
            </w:r>
          </w:p>
        </w:tc>
        <w:tc>
          <w:tcPr/>
          <w:p>
            <w:pPr>
              <w:pStyle w:val="Compact"/>
            </w:pPr>
            <w:r>
              <w:t xml:space="preserve">Parent</w:t>
            </w:r>
          </w:p>
        </w:tc>
        <w:tc>
          <w:tcPr/>
          <w:p>
            <w:pPr>
              <w:pStyle w:val="Compact"/>
            </w:pPr>
            <w:r>
              <w:t xml:space="preserve">Parent</w:t>
            </w:r>
          </w:p>
        </w:tc>
        <w:tc>
          <w:tcPr/>
          <w:p>
            <w:pPr>
              <w:pStyle w:val="Compact"/>
            </w:pPr>
            <w:r>
              <w:t xml:space="preserve">Do not attribute parent IP</w:t>
            </w:r>
          </w:p>
        </w:tc>
      </w:tr>
      <w:tr>
        <w:tc>
          <w:tcPr/>
          <w:p>
            <w:pPr>
              <w:pStyle w:val="Compact"/>
            </w:pPr>
            <w:r>
              <w:rPr>
                <w:b/>
                <w:bCs/>
              </w:rPr>
              <w:t xml:space="preserve">Novartis India</w:t>
            </w:r>
          </w:p>
        </w:tc>
        <w:tc>
          <w:tcPr/>
          <w:p>
            <w:pPr>
              <w:pStyle w:val="Compact"/>
            </w:pPr>
            <w:r>
              <w:t xml:space="preserve">Parent exposure</w:t>
            </w:r>
          </w:p>
        </w:tc>
        <w:tc>
          <w:tcPr/>
          <w:p>
            <w:pPr>
              <w:pStyle w:val="Compact"/>
            </w:pPr>
            <w:r>
              <w:t xml:space="preserve">Parent exposure</w:t>
            </w:r>
          </w:p>
        </w:tc>
        <w:tc>
          <w:tcPr/>
          <w:p>
            <w:pPr>
              <w:pStyle w:val="Compact"/>
            </w:pPr>
            <w:r>
              <w:t xml:space="preserve">Parent exposure</w:t>
            </w:r>
          </w:p>
        </w:tc>
        <w:tc>
          <w:tcPr/>
          <w:p>
            <w:pPr>
              <w:pStyle w:val="Compact"/>
            </w:pPr>
            <w:r>
              <w:t xml:space="preserve">Parent</w:t>
            </w:r>
          </w:p>
        </w:tc>
        <w:tc>
          <w:tcPr/>
          <w:p>
            <w:pPr>
              <w:pStyle w:val="Compact"/>
            </w:pPr>
            <w:r>
              <w:t xml:space="preserve">Parent</w:t>
            </w:r>
          </w:p>
        </w:tc>
        <w:tc>
          <w:tcPr/>
          <w:p>
            <w:pPr>
              <w:pStyle w:val="Compact"/>
            </w:pPr>
            <w:r>
              <w:t xml:space="preserve">Parent</w:t>
            </w:r>
          </w:p>
        </w:tc>
        <w:tc>
          <w:tcPr/>
          <w:p>
            <w:pPr>
              <w:pStyle w:val="Compact"/>
            </w:pPr>
            <w:r>
              <w:t xml:space="preserve">Do not attribute global economics</w:t>
            </w:r>
          </w:p>
        </w:tc>
      </w:tr>
      <w:tr>
        <w:tc>
          <w:tcPr/>
          <w:p>
            <w:pPr>
              <w:pStyle w:val="Compact"/>
            </w:pPr>
            <w:r>
              <w:rPr>
                <w:b/>
                <w:bCs/>
              </w:rPr>
              <w:t xml:space="preserve">Biocon</w:t>
            </w:r>
          </w:p>
        </w:tc>
        <w:tc>
          <w:tcPr/>
          <w:p>
            <w:pPr>
              <w:pStyle w:val="Compact"/>
            </w:pPr>
            <w:r>
              <w:t xml:space="preserve">Limited</w:t>
            </w:r>
          </w:p>
        </w:tc>
        <w:tc>
          <w:tcPr/>
          <w:p>
            <w:pPr>
              <w:pStyle w:val="Compact"/>
            </w:pPr>
            <w:r>
              <w:t xml:space="preserve">Pen manufacturing/partnered</w:t>
            </w:r>
          </w:p>
        </w:tc>
        <w:tc>
          <w:tcPr/>
          <w:p>
            <w:pPr>
              <w:pStyle w:val="Compact"/>
            </w:pPr>
            <w:r>
              <w:rPr>
                <w:b/>
                <w:bCs/>
              </w:rPr>
              <w:t xml:space="preserve">High</w:t>
            </w:r>
          </w:p>
        </w:tc>
        <w:tc>
          <w:tcPr/>
          <w:p>
            <w:pPr>
              <w:pStyle w:val="Compact"/>
            </w:pPr>
            <w:r>
              <w:t xml:space="preserve">Limited</w:t>
            </w:r>
          </w:p>
        </w:tc>
        <w:tc>
          <w:tcPr/>
          <w:p>
            <w:pPr>
              <w:pStyle w:val="Compact"/>
            </w:pPr>
            <w:r>
              <w:t xml:space="preserve">None</w:t>
            </w:r>
          </w:p>
        </w:tc>
        <w:tc>
          <w:tcPr/>
          <w:p>
            <w:pPr>
              <w:pStyle w:val="Compact"/>
            </w:pPr>
            <w:r>
              <w:t xml:space="preserve">None</w:t>
            </w:r>
          </w:p>
        </w:tc>
        <w:tc>
          <w:tcPr/>
          <w:p>
            <w:pPr>
              <w:pStyle w:val="Compact"/>
            </w:pPr>
            <w:r>
              <w:t xml:space="preserve">Strongest device manufacturing comparator</w:t>
            </w:r>
          </w:p>
        </w:tc>
      </w:tr>
      <w:tr>
        <w:tc>
          <w:tcPr/>
          <w:p>
            <w:pPr>
              <w:pStyle w:val="Compact"/>
            </w:pPr>
            <w:r>
              <w:rPr>
                <w:b/>
                <w:bCs/>
              </w:rPr>
              <w:t xml:space="preserve">Organon</w:t>
            </w:r>
          </w:p>
        </w:tc>
        <w:tc>
          <w:tcPr/>
          <w:p>
            <w:pPr>
              <w:pStyle w:val="Compact"/>
            </w:pPr>
            <w:r>
              <w:t xml:space="preserve">Limited</w:t>
            </w:r>
          </w:p>
        </w:tc>
        <w:tc>
          <w:tcPr/>
          <w:p>
            <w:pPr>
              <w:pStyle w:val="Compact"/>
            </w:pPr>
            <w:r>
              <w:t xml:space="preserve">Limited</w:t>
            </w:r>
          </w:p>
        </w:tc>
        <w:tc>
          <w:tcPr/>
          <w:p>
            <w:pPr>
              <w:pStyle w:val="Compact"/>
            </w:pPr>
            <w:r>
              <w:t xml:space="preserve">Women’s health</w:t>
            </w:r>
          </w:p>
        </w:tc>
        <w:tc>
          <w:tcPr/>
          <w:p>
            <w:pPr>
              <w:pStyle w:val="Compact"/>
            </w:pPr>
            <w:r>
              <w:t xml:space="preserve">Ring/selected</w:t>
            </w:r>
          </w:p>
        </w:tc>
        <w:tc>
          <w:tcPr/>
          <w:p>
            <w:pPr>
              <w:pStyle w:val="Compact"/>
            </w:pPr>
            <w:r>
              <w:t xml:space="preserve">Limited</w:t>
            </w:r>
          </w:p>
        </w:tc>
        <w:tc>
          <w:tcPr/>
          <w:p>
            <w:pPr>
              <w:pStyle w:val="Compact"/>
            </w:pPr>
            <w:r>
              <w:rPr>
                <w:b/>
                <w:bCs/>
              </w:rPr>
              <w:t xml:space="preserve">High</w:t>
            </w:r>
          </w:p>
        </w:tc>
        <w:tc>
          <w:tcPr/>
          <w:p>
            <w:pPr>
              <w:pStyle w:val="Compact"/>
            </w:pPr>
            <w:r>
              <w:t xml:space="preserve">Nexplanon is the key platform</w:t>
            </w:r>
          </w:p>
        </w:tc>
      </w:tr>
    </w:tbl>
    <w:p>
      <w:pPr>
        <w:pStyle w:val="BodyText"/>
      </w:pPr>
      <w:r>
        <w:t xml:space="preserve">Biocon deserves particular distinction because it explicitly manufactures</w:t>
      </w:r>
      <w:r>
        <w:t xml:space="preserve"> </w:t>
      </w:r>
      <w:r>
        <w:rPr>
          <w:b/>
          <w:bCs/>
        </w:rPr>
        <w:t xml:space="preserve">reusable pens and disposable pens</w:t>
      </w:r>
      <w:r>
        <w:t xml:space="preserve"> </w:t>
      </w:r>
      <w:r>
        <w:t xml:space="preserve">in Bengaluru and disposable pens in Malaysia, alongside cartridges and PFS. Biocon also states that its older reusable insulin pens were developed with Haselmeier and its Basalog disposable pen was designed in collaboration with BD.</w:t>
      </w:r>
      <w:r>
        <w:t xml:space="preserve"> </w:t>
      </w:r>
      <w:r>
        <w:rPr>
          <w:b/>
          <w:bCs/>
        </w:rPr>
        <w:t xml:space="preserve">This is exactly the distinction we want investors to make: Biocon has genuine device manufacturing capability, but public evidence also shows that mechanical design has historically been partnered.</w:t>
      </w:r>
    </w:p>
    <w:p>
      <w:r>
        <w:pict>
          <v:rect style="width:0;height:1.5pt" o:hralign="center" o:hrstd="t" o:hr="t"/>
        </w:pict>
      </w:r>
    </w:p>
    <w:bookmarkEnd w:id="46"/>
    <w:bookmarkEnd w:id="47"/>
    <w:bookmarkStart w:id="48" w:name="Xe170a66ae5345ac020eb8404ebac731bcdbdc3e"/>
    <w:p>
      <w:pPr>
        <w:pStyle w:val="Heading1"/>
      </w:pPr>
      <w:r>
        <w:t xml:space="preserve">ZYDUS: WE THINK REUSABLE PEN ECONOMICS ARE MORE IMPORTANT THAN WHETHER THE PEN LOOKS PREMIUM</w:t>
      </w:r>
    </w:p>
    <w:p>
      <w:pPr>
        <w:pStyle w:val="FirstParagraph"/>
      </w:pPr>
      <w:r>
        <w:t xml:space="preserve">The Zydus semaglutide model is interesting because it is designed for an Indian price pool rather than copied from a US reimbursement environment.</w:t>
      </w:r>
    </w:p>
    <w:p>
      <w:pPr>
        <w:pStyle w:val="BodyText"/>
      </w:pPr>
      <w:r>
        <w:t xml:space="preserve">A disposable single-dose pen maximises convenience. It also discards the drive mechanism after every dose. That economics is less problematic when a drug sells at a high reimbursed price.</w:t>
      </w:r>
    </w:p>
    <w:p>
      <w:pPr>
        <w:pStyle w:val="BodyText"/>
      </w:pPr>
      <w:r>
        <w:t xml:space="preserve">A reusable pen places more durable hardware with the patient once and then monetises cartridges.</w:t>
      </w:r>
      <w:r>
        <w:t xml:space="preserve"> </w:t>
      </w:r>
      <w:r>
        <w:rPr>
          <w:b/>
          <w:bCs/>
        </w:rPr>
        <w:t xml:space="preserve">The recurring cost advantage rises as persistence rises.</w:t>
      </w:r>
    </w:p>
    <w:p>
      <w:pPr>
        <w:pStyle w:val="BodyText"/>
      </w:pPr>
      <w:r>
        <w:t xml:space="preserve">Zydus also has something Lupin does not in the same transaction: control of the underlying semaglutide product being licensed. Lupin receives semi-exclusive commercial rights; Zydus retains its own brands and receives licensing/milestone economics.</w:t>
      </w:r>
    </w:p>
    <w:p>
      <w:pPr>
        <w:pStyle w:val="BodyText"/>
      </w:pPr>
      <w:r>
        <w:t xml:space="preserve">Our question for Zydus is therefore not</w:t>
      </w:r>
      <w:r>
        <w:t xml:space="preserve"> </w:t>
      </w:r>
      <w:r>
        <w:t xml:space="preserve">“Can it build a pen?”</w:t>
      </w:r>
      <w:r>
        <w:t xml:space="preserve"> </w:t>
      </w:r>
      <w:r>
        <w:t xml:space="preserve">It is:</w:t>
      </w:r>
    </w:p>
    <w:p>
      <w:pPr>
        <w:pStyle w:val="BodyText"/>
      </w:pPr>
      <w:r>
        <w:rPr>
          <w:b/>
          <w:bCs/>
        </w:rPr>
        <w:t xml:space="preserve">Can Zydus turn reusable-device economics into a repeatable platform across semaglutide, future incretins and potentially insulin/peptides rather than a one-product solution?</w:t>
      </w:r>
    </w:p>
    <w:p>
      <w:pPr>
        <w:pStyle w:val="BodyText"/>
      </w:pPr>
      <w:r>
        <w:t xml:space="preserve">If the answer is yes, the value can be materially larger than first-wave generic semaglutide.</w:t>
      </w:r>
    </w:p>
    <w:p>
      <w:pPr>
        <w:pStyle w:val="BodyText"/>
      </w:pPr>
      <w:r>
        <w:t xml:space="preserve">The bear case is equally clear. Oral GLP-1s can shrink the long-duration injectable patient pool, and cartridge availability has to remain reliable for a reusable system to create switching friction.</w:t>
      </w:r>
    </w:p>
    <w:p>
      <w:r>
        <w:pict>
          <v:rect style="width:0;height:1.5pt" o:hralign="center" o:hrstd="t" o:hr="t"/>
        </w:pict>
      </w:r>
    </w:p>
    <w:bookmarkEnd w:id="48"/>
    <w:bookmarkStart w:id="49" w:name="Xaf95e357c918077b97b1363a7163f9ca7b03fd5"/>
    <w:p>
      <w:pPr>
        <w:pStyle w:val="Heading1"/>
      </w:pPr>
      <w:r>
        <w:t xml:space="preserve">LUPIN: THE PROOF IS IN RESPIRATORY, NOT IN HOW MANY INJECTABLE PRODUCTS IT CAN LAUNCH</w:t>
      </w:r>
    </w:p>
    <w:p>
      <w:pPr>
        <w:pStyle w:val="FirstParagraph"/>
      </w:pPr>
      <w:r>
        <w:t xml:space="preserve">Lupin’s US respiratory achievement is strategically more important than its current GLP-1 pen.</w:t>
      </w:r>
    </w:p>
    <w:p>
      <w:pPr>
        <w:pStyle w:val="BodyText"/>
      </w:pPr>
      <w:r>
        <w:t xml:space="preserve">The company has already demonstrated the ability to develop a DPI product acceptable to FDA against a major branded reference product. It now has more than 20 inhalation products in its development pipeline.</w:t>
      </w:r>
    </w:p>
    <w:p>
      <w:pPr>
        <w:pStyle w:val="BodyText"/>
      </w:pPr>
      <w:r>
        <w:t xml:space="preserve">This matters because respiratory economics can be attractive precisely when generic competition remains limited. A technically difficult generic with several competitors is still better than a technically easy oral solid with ten.</w:t>
      </w:r>
    </w:p>
    <w:p>
      <w:pPr>
        <w:pStyle w:val="BodyText"/>
      </w:pPr>
      <w:r>
        <w:t xml:space="preserve">Our key question is whether Lupin can repeat the tiotropium playbook across additional US respiratory molecules.</w:t>
      </w:r>
      <w:r>
        <w:t xml:space="preserve"> </w:t>
      </w:r>
      <w:r>
        <w:rPr>
          <w:b/>
          <w:bCs/>
        </w:rPr>
        <w:t xml:space="preserve">One approved DPI is evidence. A portfolio of profitable launches would be a franchise.</w:t>
      </w:r>
    </w:p>
    <w:p>
      <w:pPr>
        <w:pStyle w:val="BodyText"/>
      </w:pPr>
      <w:r>
        <w:t xml:space="preserve">The semaglutide agreement should be analysed separately. It is commercially sensible because Lupin contributes reach while Zydus contributes the product. But it does not prove Lupin pen IP.</w:t>
      </w:r>
    </w:p>
    <w:p>
      <w:pPr>
        <w:pStyle w:val="BodyText"/>
      </w:pPr>
      <w:r>
        <w:t xml:space="preserve">We therefore see Lupin’s delivery thesis as:</w:t>
      </w:r>
      <w:r>
        <w:t xml:space="preserve"> </w:t>
      </w:r>
      <w:r>
        <w:t xml:space="preserve">1.</w:t>
      </w:r>
      <w:r>
        <w:t xml:space="preserve"> </w:t>
      </w:r>
      <w:r>
        <w:rPr>
          <w:b/>
          <w:bCs/>
        </w:rPr>
        <w:t xml:space="preserve">high conviction respiratory</w:t>
      </w:r>
      <w:r>
        <w:t xml:space="preserve"> </w:t>
      </w:r>
      <w:r>
        <w:t xml:space="preserve">2.</w:t>
      </w:r>
      <w:r>
        <w:t xml:space="preserve"> </w:t>
      </w:r>
      <w:r>
        <w:rPr>
          <w:b/>
          <w:bCs/>
        </w:rPr>
        <w:t xml:space="preserve">high-complexity injectables</w:t>
      </w:r>
      <w:r>
        <w:t xml:space="preserve"> </w:t>
      </w:r>
      <w:r>
        <w:t xml:space="preserve">3.</w:t>
      </w:r>
      <w:r>
        <w:t xml:space="preserve"> </w:t>
      </w:r>
      <w:r>
        <w:rPr>
          <w:b/>
          <w:bCs/>
        </w:rPr>
        <w:t xml:space="preserve">commercial access rather than ownership in current GLP-1 pens.</w:t>
      </w:r>
    </w:p>
    <w:p>
      <w:r>
        <w:pict>
          <v:rect style="width:0;height:1.5pt" o:hralign="center" o:hrstd="t" o:hr="t"/>
        </w:pict>
      </w:r>
    </w:p>
    <w:bookmarkEnd w:id="49"/>
    <w:bookmarkStart w:id="50" w:name="X739d0f6e728b733e30056ee1058e15501453c18"/>
    <w:p>
      <w:pPr>
        <w:pStyle w:val="Heading1"/>
      </w:pPr>
      <w:r>
        <w:t xml:space="preserve">SUN: ORGANON CAN CHANGE THE DELIVERY MIX MORE THAN SUN’S CURRENT SEMAGLUTIDE LAUNCH</w:t>
      </w:r>
    </w:p>
    <w:p>
      <w:pPr>
        <w:pStyle w:val="FirstParagraph"/>
      </w:pPr>
      <w:r>
        <w:t xml:space="preserve">Sun’s semaglutide offering is competitive, but it does not alter our view of Sun’s core technical moat because the device is externally sourced.</w:t>
      </w:r>
    </w:p>
    <w:p>
      <w:pPr>
        <w:pStyle w:val="BodyText"/>
      </w:pPr>
      <w:r>
        <w:t xml:space="preserve">The numbers nevertheless show why the commercial format matters. Sun prices Noveltreat weekly therapy at roughly INR900-2,000 and Sematrinity at INR750-1,300 depending on dose, while using different pen architectures for obesity and diabetes.</w:t>
      </w:r>
    </w:p>
    <w:p>
      <w:pPr>
        <w:pStyle w:val="BodyText"/>
      </w:pPr>
      <w:r>
        <w:t xml:space="preserve">The more consequential event is Organon.</w:t>
      </w:r>
    </w:p>
    <w:p>
      <w:pPr>
        <w:pStyle w:val="BodyText"/>
      </w:pPr>
      <w:r>
        <w:t xml:space="preserve">Sun has agreed to pay an EV of</w:t>
      </w:r>
      <w:r>
        <w:t xml:space="preserve"> </w:t>
      </w:r>
      <w:r>
        <w:rPr>
          <w:b/>
          <w:bCs/>
        </w:rPr>
        <w:t xml:space="preserve">US$11.75bn</w:t>
      </w:r>
      <w:r>
        <w:t xml:space="preserve"> </w:t>
      </w:r>
      <w:r>
        <w:t xml:space="preserve">for a business with</w:t>
      </w:r>
      <w:r>
        <w:t xml:space="preserve"> </w:t>
      </w:r>
      <w:r>
        <w:rPr>
          <w:b/>
          <w:bCs/>
        </w:rPr>
        <w:t xml:space="preserve">US$6.2bn revenue</w:t>
      </w:r>
      <w:r>
        <w:t xml:space="preserve"> </w:t>
      </w:r>
      <w:r>
        <w:t xml:space="preserve">and</w:t>
      </w:r>
      <w:r>
        <w:t xml:space="preserve"> </w:t>
      </w:r>
      <w:r>
        <w:rPr>
          <w:b/>
          <w:bCs/>
        </w:rPr>
        <w:t xml:space="preserve">US$1.9bn adjusted EBITDA</w:t>
      </w:r>
      <w:r>
        <w:t xml:space="preserve"> </w:t>
      </w:r>
      <w:r>
        <w:t xml:space="preserve">in 2025. The combined company would be a top-three global women’s-health player according to the transaction presentation.</w:t>
      </w:r>
    </w:p>
    <w:p>
      <w:pPr>
        <w:pStyle w:val="BodyText"/>
      </w:pPr>
      <w:r>
        <w:t xml:space="preserve">Nexplanon contributes approximately</w:t>
      </w:r>
      <w:r>
        <w:t xml:space="preserve"> </w:t>
      </w:r>
      <w:r>
        <w:rPr>
          <w:b/>
          <w:bCs/>
        </w:rPr>
        <w:t xml:space="preserve">US$0.9bn</w:t>
      </w:r>
      <w:r>
        <w:t xml:space="preserve"> </w:t>
      </w:r>
      <w:r>
        <w:t xml:space="preserve">of sales and is clinically differentiated through duration, HCP training and removal/insertion infrastructure.</w:t>
      </w:r>
    </w:p>
    <w:p>
      <w:pPr>
        <w:pStyle w:val="BodyText"/>
      </w:pPr>
      <w:r>
        <w:t xml:space="preserve">If the transaction closes, we would therefore change Sun’s device classification from:</w:t>
      </w:r>
    </w:p>
    <w:p>
      <w:pPr>
        <w:pStyle w:val="BodyText"/>
      </w:pPr>
      <w:r>
        <w:rPr>
          <w:b/>
          <w:bCs/>
        </w:rPr>
        <w:t xml:space="preserve">“formulation company using external devices”</w:t>
      </w:r>
    </w:p>
    <w:p>
      <w:pPr>
        <w:pStyle w:val="BodyText"/>
      </w:pPr>
      <w:r>
        <w:t xml:space="preserve">to</w:t>
      </w:r>
    </w:p>
    <w:p>
      <w:pPr>
        <w:pStyle w:val="BodyText"/>
      </w:pPr>
      <w:r>
        <w:rPr>
          <w:b/>
          <w:bCs/>
        </w:rPr>
        <w:t xml:space="preserve">“owner of one scaled proprietary drug-device commercial franchise, plus external-device exposure elsewhere.”</w:t>
      </w:r>
    </w:p>
    <w:p>
      <w:pPr>
        <w:pStyle w:val="BodyText"/>
      </w:pPr>
      <w:r>
        <w:t xml:space="preserve">We would still not call Sun a broad drug-delivery platform company.</w:t>
      </w:r>
    </w:p>
    <w:p>
      <w:r>
        <w:pict>
          <v:rect style="width:0;height:1.5pt" o:hralign="center" o:hrstd="t" o:hr="t"/>
        </w:pict>
      </w:r>
    </w:p>
    <w:bookmarkEnd w:id="50"/>
    <w:bookmarkStart w:id="51" w:name="X66a93cb4f2e60e02cf3746a35c8e5632bcaee30"/>
    <w:p>
      <w:pPr>
        <w:pStyle w:val="Heading1"/>
      </w:pPr>
      <w:r>
        <w:t xml:space="preserve">EXHIBIT 16: WHICH PLATFORM ACTUALLY HAS THE BEST INVESTMENT CHARACTERISTICS?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Platform</w:t>
            </w:r>
          </w:p>
        </w:tc>
        <w:tc>
          <w:tcPr/>
          <w:p>
            <w:pPr>
              <w:pStyle w:val="Compact"/>
              <w:jc w:val="right"/>
            </w:pPr>
            <w:r>
              <w:t xml:space="preserve">Structural growth</w:t>
            </w:r>
          </w:p>
        </w:tc>
        <w:tc>
          <w:tcPr/>
          <w:p>
            <w:pPr>
              <w:pStyle w:val="Compact"/>
              <w:jc w:val="right"/>
            </w:pPr>
            <w:r>
              <w:t xml:space="preserve">Clinical differentiation</w:t>
            </w:r>
          </w:p>
        </w:tc>
        <w:tc>
          <w:tcPr/>
          <w:p>
            <w:pPr>
              <w:pStyle w:val="Compact"/>
              <w:jc w:val="right"/>
            </w:pPr>
            <w:r>
              <w:t xml:space="preserve">Outsourcing ease</w:t>
            </w:r>
          </w:p>
        </w:tc>
        <w:tc>
          <w:tcPr/>
          <w:p>
            <w:pPr>
              <w:pStyle w:val="Compact"/>
              <w:jc w:val="right"/>
            </w:pPr>
            <w:r>
              <w:t xml:space="preserve">Generic barrier</w:t>
            </w:r>
          </w:p>
        </w:tc>
        <w:tc>
          <w:tcPr/>
          <w:p>
            <w:pPr>
              <w:pStyle w:val="Compact"/>
              <w:jc w:val="right"/>
            </w:pPr>
            <w:r>
              <w:t xml:space="preserve">India relevance</w:t>
            </w:r>
          </w:p>
        </w:tc>
        <w:tc>
          <w:tcPr/>
          <w:p>
            <w:pPr>
              <w:pStyle w:val="Compact"/>
              <w:jc w:val="right"/>
            </w:pPr>
            <w:r>
              <w:t xml:space="preserve">Overall</w:t>
            </w:r>
          </w:p>
        </w:tc>
      </w:tr>
      <w:tr>
        <w:tc>
          <w:tcPr/>
          <w:p>
            <w:pPr>
              <w:pStyle w:val="Compact"/>
            </w:pPr>
            <w:r>
              <w:t xml:space="preserve">Inhalation</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High</w:t>
            </w:r>
          </w:p>
        </w:tc>
      </w:tr>
      <w:tr>
        <w:tc>
          <w:tcPr/>
          <w:p>
            <w:pPr>
              <w:pStyle w:val="Compact"/>
            </w:pPr>
            <w:r>
              <w:t xml:space="preserve">DES/DCB</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5</w:t>
            </w:r>
          </w:p>
        </w:tc>
        <w:tc>
          <w:tcPr/>
          <w:p>
            <w:pPr>
              <w:pStyle w:val="Compact"/>
              <w:jc w:val="right"/>
            </w:pPr>
            <w:r>
              <w:t xml:space="preserve">1 for pharma</w:t>
            </w:r>
          </w:p>
        </w:tc>
        <w:tc>
          <w:tcPr/>
          <w:p>
            <w:pPr>
              <w:pStyle w:val="Compact"/>
              <w:jc w:val="right"/>
            </w:pPr>
            <w:r>
              <w:t xml:space="preserve">Medium</w:t>
            </w:r>
          </w:p>
        </w:tc>
      </w:tr>
      <w:tr>
        <w:tc>
          <w:tcPr/>
          <w:p>
            <w:pPr>
              <w:pStyle w:val="Compact"/>
            </w:pPr>
            <w:r>
              <w:t xml:space="preserve">Transdermal</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Medium</w:t>
            </w:r>
          </w:p>
        </w:tc>
      </w:tr>
      <w:tr>
        <w:tc>
          <w:tcPr/>
          <w:p>
            <w:pPr>
              <w:pStyle w:val="Compact"/>
            </w:pPr>
            <w:r>
              <w:t xml:space="preserve">LARC</w:t>
            </w:r>
          </w:p>
        </w:tc>
        <w:tc>
          <w:tcPr/>
          <w:p>
            <w:pPr>
              <w:pStyle w:val="Compact"/>
              <w:jc w:val="right"/>
            </w:pPr>
            <w:r>
              <w:t xml:space="preserve">4</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c>
          <w:tcPr/>
          <w:p>
            <w:pPr>
              <w:pStyle w:val="Compact"/>
              <w:jc w:val="right"/>
            </w:pPr>
            <w:r>
              <w:t xml:space="preserve">2 today</w:t>
            </w:r>
          </w:p>
        </w:tc>
        <w:tc>
          <w:tcPr/>
          <w:p>
            <w:pPr>
              <w:pStyle w:val="Compact"/>
              <w:jc w:val="right"/>
            </w:pPr>
            <w:r>
              <w:t xml:space="preserve">High globally</w:t>
            </w:r>
          </w:p>
        </w:tc>
      </w:tr>
      <w:tr>
        <w:tc>
          <w:tcPr/>
          <w:p>
            <w:pPr>
              <w:pStyle w:val="Compact"/>
            </w:pPr>
            <w:r>
              <w:t xml:space="preserve">Pens/autoinjectors</w:t>
            </w:r>
          </w:p>
        </w:tc>
        <w:tc>
          <w:tcPr/>
          <w:p>
            <w:pPr>
              <w:pStyle w:val="Compact"/>
              <w:jc w:val="right"/>
            </w:pPr>
            <w:r>
              <w:t xml:space="preserve">5</w:t>
            </w:r>
          </w:p>
        </w:tc>
        <w:tc>
          <w:tcPr/>
          <w:p>
            <w:pPr>
              <w:pStyle w:val="Compact"/>
              <w:jc w:val="right"/>
            </w:pPr>
            <w:r>
              <w:t xml:space="preserve">2-4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rPr>
                <w:b/>
                <w:bCs/>
              </w:rPr>
              <w:t xml:space="preserve">High growth, variable moat</w:t>
            </w:r>
          </w:p>
        </w:tc>
      </w:tr>
      <w:tr>
        <w:tc>
          <w:tcPr/>
          <w:p>
            <w:pPr>
              <w:pStyle w:val="Compact"/>
            </w:pPr>
            <w:r>
              <w:t xml:space="preserve">Pumps/AID</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c>
          <w:tcPr/>
          <w:p>
            <w:pPr>
              <w:pStyle w:val="Compact"/>
              <w:jc w:val="right"/>
            </w:pPr>
            <w:r>
              <w:t xml:space="preserve">1-2 today</w:t>
            </w:r>
          </w:p>
        </w:tc>
        <w:tc>
          <w:tcPr/>
          <w:p>
            <w:pPr>
              <w:pStyle w:val="Compact"/>
              <w:jc w:val="right"/>
            </w:pPr>
            <w:r>
              <w:rPr>
                <w:b/>
                <w:bCs/>
              </w:rPr>
              <w:t xml:space="preserve">Highest moat</w:t>
            </w:r>
          </w:p>
        </w:tc>
      </w:tr>
    </w:tbl>
    <w:p>
      <w:pPr>
        <w:pStyle w:val="BodyText"/>
      </w:pPr>
      <w:r>
        <w:t xml:space="preserve">Scores are Bernstein analysis, 1 to 5.</w:t>
      </w:r>
    </w:p>
    <w:p>
      <w:pPr>
        <w:pStyle w:val="BodyText"/>
      </w:pPr>
      <w:r>
        <w:t xml:space="preserve">The important result is that</w:t>
      </w:r>
      <w:r>
        <w:t xml:space="preserve"> </w:t>
      </w:r>
      <w:r>
        <w:rPr>
          <w:b/>
          <w:bCs/>
        </w:rPr>
        <w:t xml:space="preserve">growth and moat are not correlated one-for-one.</w:t>
      </w:r>
    </w:p>
    <w:p>
      <w:pPr>
        <w:pStyle w:val="BodyText"/>
      </w:pPr>
      <w:r>
        <w:t xml:space="preserve">Pens may grow fastest but can be relatively outsourceable.</w:t>
      </w:r>
    </w:p>
    <w:p>
      <w:pPr>
        <w:pStyle w:val="BodyText"/>
      </w:pPr>
      <w:r>
        <w:t xml:space="preserve">Pumps have a very strong moat but poor near-term Indian affordability.</w:t>
      </w:r>
    </w:p>
    <w:p>
      <w:pPr>
        <w:pStyle w:val="BodyText"/>
      </w:pPr>
      <w:r>
        <w:t xml:space="preserve">Inhalation offers the best intersection of barrier and Indian listed-company capability.</w:t>
      </w:r>
    </w:p>
    <w:p>
      <w:r>
        <w:pict>
          <v:rect style="width:0;height:1.5pt" o:hralign="center" o:hrstd="t" o:hr="t"/>
        </w:pict>
      </w:r>
    </w:p>
    <w:bookmarkEnd w:id="51"/>
    <w:bookmarkStart w:id="52" w:name="X977f5c98c41a1b677bc3562d8aaa4cf6cf5d078"/>
    <w:p>
      <w:pPr>
        <w:pStyle w:val="Heading1"/>
      </w:pPr>
      <w:r>
        <w:t xml:space="preserve">REGULATION: THE REAL BARRIER IS THE NUMBER OF FAILURE MODES THAT MUST BE CONTROLLED</w:t>
      </w:r>
    </w:p>
    <w:p>
      <w:pPr>
        <w:pStyle w:val="FirstParagraph"/>
      </w:pPr>
      <w:r>
        <w:t xml:space="preserve">A conventional oral tablet can fail through formulation, stability, impurity or manufacturing problems. A combination product adds physical failure modes.</w:t>
      </w:r>
    </w:p>
    <w:p>
      <w:pPr>
        <w:pStyle w:val="BodyText"/>
      </w:pPr>
      <w:r>
        <w:t xml:space="preserve">An autoinjector can fail to fire.</w:t>
      </w:r>
    </w:p>
    <w:p>
      <w:pPr>
        <w:pStyle w:val="BodyText"/>
      </w:pPr>
      <w:r>
        <w:t xml:space="preserve">A cartridge can crack.</w:t>
      </w:r>
    </w:p>
    <w:p>
      <w:pPr>
        <w:pStyle w:val="BodyText"/>
      </w:pPr>
      <w:r>
        <w:t xml:space="preserve">A plunger can stall.</w:t>
      </w:r>
    </w:p>
    <w:p>
      <w:pPr>
        <w:pStyle w:val="BodyText"/>
      </w:pPr>
      <w:r>
        <w:t xml:space="preserve">A needle can clog.</w:t>
      </w:r>
    </w:p>
    <w:p>
      <w:pPr>
        <w:pStyle w:val="BodyText"/>
      </w:pPr>
      <w:r>
        <w:t xml:space="preserve">A spring can produce insufficient force for a viscous formulation.</w:t>
      </w:r>
    </w:p>
    <w:p>
      <w:pPr>
        <w:pStyle w:val="BodyText"/>
      </w:pPr>
      <w:r>
        <w:t xml:space="preserve">An inhaler can meter the correct mass but generate the wrong aerodynamic distribution.</w:t>
      </w:r>
    </w:p>
    <w:p>
      <w:pPr>
        <w:pStyle w:val="BodyText"/>
      </w:pPr>
      <w:r>
        <w:t xml:space="preserve">A patch can adhere poorly.</w:t>
      </w:r>
    </w:p>
    <w:p>
      <w:pPr>
        <w:pStyle w:val="BodyText"/>
      </w:pPr>
      <w:r>
        <w:t xml:space="preserve">A pump can occlude or deliver at the wrong rate.</w:t>
      </w:r>
    </w:p>
    <w:p>
      <w:pPr>
        <w:pStyle w:val="BodyText"/>
      </w:pPr>
      <w:r>
        <w:t xml:space="preserve">The regulatory burden is therefore not simply</w:t>
      </w:r>
      <w:r>
        <w:t xml:space="preserve"> </w:t>
      </w:r>
      <w:r>
        <w:t xml:space="preserve">“more documents”</w:t>
      </w:r>
      <w:r>
        <w:t xml:space="preserve">. It is</w:t>
      </w:r>
      <w:r>
        <w:t xml:space="preserve"> </w:t>
      </w:r>
      <w:r>
        <w:rPr>
          <w:b/>
          <w:bCs/>
        </w:rPr>
        <w:t xml:space="preserve">more variables that can change delivered dose.</w:t>
      </w:r>
    </w:p>
    <w:p>
      <w:pPr>
        <w:pStyle w:val="BodyText"/>
      </w:pPr>
      <w:r>
        <w:t xml:space="preserve">This makes human-factor testing particularly important where the patient is part of the delivery mechanism. The same design may perform differently in an elderly rheumatoid-arthritis patient with limited dexterity than in a healthy engineer testing a prototype.</w:t>
      </w:r>
    </w:p>
    <w:p>
      <w:pPr>
        <w:pStyle w:val="BodyText"/>
      </w:pPr>
      <w:r>
        <w:t xml:space="preserve">Yet regulatory work does not guarantee commercial protection. If several generic companies can purchase a qualified reference-like device and run comparable human-factor programmes, barriers fall.</w:t>
      </w:r>
    </w:p>
    <w:p>
      <w:pPr>
        <w:pStyle w:val="BodyText"/>
      </w:pPr>
      <w:r>
        <w:rPr>
          <w:b/>
          <w:bCs/>
        </w:rPr>
        <w:t xml:space="preserve">We therefore only assign a high regulatory moat where formulation, device mechanics and patient use are tightly coupled.</w:t>
      </w:r>
    </w:p>
    <w:p>
      <w:r>
        <w:pict>
          <v:rect style="width:0;height:1.5pt" o:hralign="center" o:hrstd="t" o:hr="t"/>
        </w:pict>
      </w:r>
    </w:p>
    <w:bookmarkEnd w:id="52"/>
    <w:bookmarkStart w:id="53" w:name="what-can-destroy-the-device-moat"/>
    <w:p>
      <w:pPr>
        <w:pStyle w:val="Heading1"/>
      </w:pPr>
      <w:r>
        <w:t xml:space="preserve">WHAT CAN DESTROY THE DEVICE MOAT?</w:t>
      </w:r>
    </w:p>
    <w:p>
      <w:pPr>
        <w:pStyle w:val="FirstParagraph"/>
      </w:pPr>
      <w:r>
        <w:t xml:space="preserve">We see five failure modes.</w:t>
      </w:r>
    </w:p>
    <w:p>
      <w:pPr>
        <w:pStyle w:val="BodyText"/>
      </w:pPr>
      <w:r>
        <w:rPr>
          <w:b/>
          <w:bCs/>
        </w:rPr>
        <w:t xml:space="preserve">1. Better oral chemistry.</w:t>
      </w:r>
      <w:r>
        <w:br/>
      </w:r>
      <w:r>
        <w:t xml:space="preserve">The clearest threat to GLP-1 injection convenience.</w:t>
      </w:r>
    </w:p>
    <w:p>
      <w:pPr>
        <w:pStyle w:val="BodyText"/>
      </w:pPr>
      <w:r>
        <w:rPr>
          <w:b/>
          <w:bCs/>
        </w:rPr>
        <w:t xml:space="preserve">2. Standardised external platforms.</w:t>
      </w:r>
      <w:r>
        <w:br/>
      </w:r>
      <w:r>
        <w:t xml:space="preserve">If every pharma company can buy similar high-quality autoinjectors, device differentiation falls.</w:t>
      </w:r>
    </w:p>
    <w:p>
      <w:pPr>
        <w:pStyle w:val="BodyText"/>
      </w:pPr>
      <w:r>
        <w:rPr>
          <w:b/>
          <w:bCs/>
        </w:rPr>
        <w:t xml:space="preserve">3. Poor persistence.</w:t>
      </w:r>
      <w:r>
        <w:br/>
      </w:r>
      <w:r>
        <w:t xml:space="preserve">Reusable hardware economics deteriorate if patients discontinue early.</w:t>
      </w:r>
    </w:p>
    <w:p>
      <w:pPr>
        <w:pStyle w:val="BodyText"/>
      </w:pPr>
      <w:r>
        <w:rPr>
          <w:b/>
          <w:bCs/>
        </w:rPr>
        <w:t xml:space="preserve">4. Affordability.</w:t>
      </w:r>
      <w:r>
        <w:br/>
      </w:r>
      <w:r>
        <w:t xml:space="preserve">A pump can be clinically superior and commercially irrelevant for most Indian patients.</w:t>
      </w:r>
    </w:p>
    <w:p>
      <w:pPr>
        <w:pStyle w:val="BodyText"/>
      </w:pPr>
      <w:r>
        <w:rPr>
          <w:b/>
          <w:bCs/>
        </w:rPr>
        <w:t xml:space="preserve">5. The device solves a problem patients do not value.</w:t>
      </w:r>
      <w:r>
        <w:br/>
      </w:r>
      <w:r>
        <w:t xml:space="preserve">Connectivity without behavioural change is a feature, not a moat.</w:t>
      </w:r>
    </w:p>
    <w:p>
      <w:r>
        <w:pict>
          <v:rect style="width:0;height:1.5pt" o:hralign="center" o:hrstd="t" o:hr="t"/>
        </w:pict>
      </w:r>
    </w:p>
    <w:bookmarkEnd w:id="53"/>
    <w:bookmarkStart w:id="63" w:name="what-this-means-for-investors"/>
    <w:p>
      <w:pPr>
        <w:pStyle w:val="Heading1"/>
      </w:pPr>
      <w:r>
        <w:t xml:space="preserve">WHAT THIS MEANS FOR INVESTORS</w:t>
      </w:r>
    </w:p>
    <w:bookmarkStart w:id="54" w:name="Xa00568ffe2e13ee4ad4acf32cb2886d5512f599"/>
    <w:p>
      <w:pPr>
        <w:pStyle w:val="Heading2"/>
      </w:pPr>
      <w:r>
        <w:t xml:space="preserve">1. WHICH PLATFORMS HAVE THE BEST STRUCTURAL GROWTH?</w:t>
      </w:r>
    </w:p>
    <w:p>
      <w:pPr>
        <w:pStyle w:val="FirstParagraph"/>
      </w:pPr>
      <w:r>
        <w:rPr>
          <w:b/>
          <w:bCs/>
        </w:rPr>
        <w:t xml:space="preserve">Pens/autoinjectors and automated delivery.</w:t>
      </w:r>
    </w:p>
    <w:p>
      <w:pPr>
        <w:pStyle w:val="BodyText"/>
      </w:pPr>
      <w:r>
        <w:t xml:space="preserve">Stevanato’s directly addressable drug-delivery market is expected to grow around 9% through 2030, while PFS grows faster. Insulet’s Omnipod revenue grew more than 30% in 2025. These are the most visible volume-growth pools.</w:t>
      </w:r>
    </w:p>
    <w:bookmarkEnd w:id="54"/>
    <w:bookmarkStart w:id="55" w:name="X7a0e163118c86ad55242d6988543de78db5e649"/>
    <w:p>
      <w:pPr>
        <w:pStyle w:val="Heading2"/>
      </w:pPr>
      <w:r>
        <w:t xml:space="preserve">2. WHICH PLATFORMS CREATE THE STRONGEST BARRIERS?</w:t>
      </w:r>
    </w:p>
    <w:p>
      <w:pPr>
        <w:pStyle w:val="FirstParagraph"/>
      </w:pPr>
      <w:r>
        <w:rPr>
          <w:b/>
          <w:bCs/>
        </w:rPr>
        <w:t xml:space="preserve">Automated pumps and inhalation.</w:t>
      </w:r>
    </w:p>
    <w:p>
      <w:pPr>
        <w:pStyle w:val="BodyText"/>
      </w:pPr>
      <w:r>
        <w:t xml:space="preserve">The device is central to delivered therapy and cannot easily be separated from clinical performance.</w:t>
      </w:r>
    </w:p>
    <w:p>
      <w:pPr>
        <w:pStyle w:val="BodyText"/>
      </w:pPr>
      <w:r>
        <w:t xml:space="preserve">LARC and coronary local delivery also have strong barriers, but India listed-pharma exposure is weaker.</w:t>
      </w:r>
    </w:p>
    <w:bookmarkEnd w:id="55"/>
    <w:bookmarkStart w:id="56" w:name="where-will-orals-fight-back-hardest"/>
    <w:p>
      <w:pPr>
        <w:pStyle w:val="Heading2"/>
      </w:pPr>
      <w:r>
        <w:t xml:space="preserve">3. WHERE WILL ORALS FIGHT BACK HARDEST?</w:t>
      </w:r>
    </w:p>
    <w:p>
      <w:pPr>
        <w:pStyle w:val="FirstParagraph"/>
      </w:pPr>
      <w:r>
        <w:rPr>
          <w:b/>
          <w:bCs/>
        </w:rPr>
        <w:t xml:space="preserve">Chronic self-injection where the device’s principal benefit is convenience.</w:t>
      </w:r>
    </w:p>
    <w:p>
      <w:pPr>
        <w:pStyle w:val="BodyText"/>
      </w:pPr>
      <w:r>
        <w:t xml:space="preserve">GLP-1 is the most obvious case.</w:t>
      </w:r>
    </w:p>
    <w:p>
      <w:pPr>
        <w:pStyle w:val="BodyText"/>
      </w:pPr>
      <w:r>
        <w:t xml:space="preserve">We see much less oral substitution risk for local pulmonary delivery, coronary local delivery or automated insulin.</w:t>
      </w:r>
    </w:p>
    <w:bookmarkEnd w:id="56"/>
    <w:bookmarkStart w:id="57" w:name="X0629dc695815f0bfe2a79e0c8187db8b5c7b2cb"/>
    <w:p>
      <w:pPr>
        <w:pStyle w:val="Heading2"/>
      </w:pPr>
      <w:r>
        <w:t xml:space="preserve">4. WHICH INDIAN COMPANIES HAVE REAL CAPABILITY?</w:t>
      </w:r>
    </w:p>
    <w:p>
      <w:pPr>
        <w:pStyle w:val="FirstParagraph"/>
      </w:pPr>
      <w:r>
        <w:rPr>
          <w:b/>
          <w:bCs/>
        </w:rPr>
        <w:t xml:space="preserve">Lupin, Cipla and Glenmark:</w:t>
      </w:r>
      <w:r>
        <w:t xml:space="preserve"> </w:t>
      </w:r>
      <w:r>
        <w:t xml:space="preserve">regulated-market inhalation.</w:t>
      </w:r>
    </w:p>
    <w:p>
      <w:pPr>
        <w:pStyle w:val="BodyText"/>
      </w:pPr>
      <w:r>
        <w:rPr>
          <w:b/>
          <w:bCs/>
        </w:rPr>
        <w:t xml:space="preserve">Zydus:</w:t>
      </w:r>
      <w:r>
        <w:t xml:space="preserve"> </w:t>
      </w:r>
      <w:r>
        <w:t xml:space="preserve">transdermal + internally developed semaglutide product platform.</w:t>
      </w:r>
    </w:p>
    <w:p>
      <w:pPr>
        <w:pStyle w:val="BodyText"/>
      </w:pPr>
      <w:r>
        <w:rPr>
          <w:b/>
          <w:bCs/>
        </w:rPr>
        <w:t xml:space="preserve">Biocon:</w:t>
      </w:r>
      <w:r>
        <w:t xml:space="preserve"> </w:t>
      </w:r>
      <w:r>
        <w:t xml:space="preserve">physical pen/cartridge/PFS manufacturing with partnered device engineering.</w:t>
      </w:r>
    </w:p>
    <w:p>
      <w:pPr>
        <w:pStyle w:val="BodyText"/>
      </w:pPr>
      <w:r>
        <w:rPr>
          <w:b/>
          <w:bCs/>
        </w:rPr>
        <w:t xml:space="preserve">Sun:</w:t>
      </w:r>
      <w:r>
        <w:t xml:space="preserve"> </w:t>
      </w:r>
      <w:r>
        <w:t xml:space="preserve">formulation and commercial reach today; major LARC exposure if Organon closes.</w:t>
      </w:r>
    </w:p>
    <w:p>
      <w:pPr>
        <w:pStyle w:val="BodyText"/>
      </w:pPr>
      <w:r>
        <w:t xml:space="preserve">We do not find enough evidence to call Torrent a current transdermal leader.</w:t>
      </w:r>
    </w:p>
    <w:p>
      <w:pPr>
        <w:pStyle w:val="BodyText"/>
      </w:pPr>
      <w:r>
        <w:t xml:space="preserve">We do not attribute global GSK or Novartis device IP to their listed Indian subsidiaries.</w:t>
      </w:r>
    </w:p>
    <w:bookmarkEnd w:id="57"/>
    <w:bookmarkStart w:id="62" w:name="X874a860c81581873a12ef427bf0eddb0e187806"/>
    <w:p>
      <w:pPr>
        <w:pStyle w:val="Heading2"/>
      </w:pPr>
      <w:r>
        <w:t xml:space="preserve">5. WHICH OF ZYDUS, LUPIN AND SUN HAS THE STRONGEST CURRENT EXPOSURE?</w:t>
      </w:r>
    </w:p>
    <w:bookmarkStart w:id="58" w:name="zydus"/>
    <w:p>
      <w:pPr>
        <w:pStyle w:val="Heading3"/>
      </w:pPr>
      <w:r>
        <w:t xml:space="preserve">1. ZYDUS</w:t>
      </w:r>
    </w:p>
    <w:p>
      <w:pPr>
        <w:pStyle w:val="FirstParagraph"/>
      </w:pPr>
      <w:r>
        <w:t xml:space="preserve">Best breadth across technologies that it has evidence of controlling rather than merely marketing.</w:t>
      </w:r>
    </w:p>
    <w:bookmarkEnd w:id="58"/>
    <w:bookmarkStart w:id="59" w:name="lupin"/>
    <w:p>
      <w:pPr>
        <w:pStyle w:val="Heading3"/>
      </w:pPr>
      <w:r>
        <w:t xml:space="preserve">2. LUPIN</w:t>
      </w:r>
    </w:p>
    <w:p>
      <w:pPr>
        <w:pStyle w:val="FirstParagraph"/>
      </w:pPr>
      <w:r>
        <w:t xml:space="preserve">Best high-barrier respiratory capability. We would argue this may ultimately be the most economically proven delivery moat of the three, even though Zydus has greater breadth.</w:t>
      </w:r>
    </w:p>
    <w:bookmarkEnd w:id="59"/>
    <w:bookmarkStart w:id="60" w:name="sun-pharma-today"/>
    <w:p>
      <w:pPr>
        <w:pStyle w:val="Heading3"/>
      </w:pPr>
      <w:r>
        <w:t xml:space="preserve">3. SUN PHARMA TODAY</w:t>
      </w:r>
    </w:p>
    <w:p>
      <w:pPr>
        <w:pStyle w:val="FirstParagraph"/>
      </w:pPr>
      <w:r>
        <w:t xml:space="preserve">Largest company, but current delivery-device ownership is weaker.</w:t>
      </w:r>
    </w:p>
    <w:bookmarkEnd w:id="60"/>
    <w:bookmarkStart w:id="61" w:name="sun-post-organon"/>
    <w:p>
      <w:pPr>
        <w:pStyle w:val="Heading3"/>
      </w:pPr>
      <w:r>
        <w:t xml:space="preserve">SUN POST-ORGANON</w:t>
      </w:r>
    </w:p>
    <w:p>
      <w:pPr>
        <w:pStyle w:val="FirstParagraph"/>
      </w:pPr>
      <w:r>
        <w:t xml:space="preserve">Could move materially higher because Nexplanon would add a US$0.9bn global implant franchise with real training, regulatory and switching barriers.</w:t>
      </w:r>
    </w:p>
    <w:p>
      <w:r>
        <w:pict>
          <v:rect style="width:0;height:1.5pt" o:hralign="center" o:hrstd="t" o:hr="t"/>
        </w:pict>
      </w:r>
    </w:p>
    <w:bookmarkEnd w:id="61"/>
    <w:bookmarkEnd w:id="62"/>
    <w:bookmarkEnd w:id="63"/>
    <w:bookmarkStart w:id="64" w:name="X0c310040ae59cc32f1bb2a62a66b7a1fa16e6f5"/>
    <w:p>
      <w:pPr>
        <w:pStyle w:val="Heading1"/>
      </w:pPr>
      <w:r>
        <w:t xml:space="preserve">FINAL THOUGHT: THE MOST VALUABLE DRUG-DELIVERY COMPANY MAY USE LESS DEVICE, NOT MORE</w:t>
      </w:r>
    </w:p>
    <w:p>
      <w:pPr>
        <w:pStyle w:val="FirstParagraph"/>
      </w:pPr>
      <w:r>
        <w:t xml:space="preserve">The industry’s direction is not toward maximum engineering complexity.</w:t>
      </w:r>
    </w:p>
    <w:p>
      <w:pPr>
        <w:pStyle w:val="BodyText"/>
      </w:pPr>
      <w:r>
        <w:t xml:space="preserve">It is toward the</w:t>
      </w:r>
      <w:r>
        <w:t xml:space="preserve"> </w:t>
      </w:r>
      <w:r>
        <w:rPr>
          <w:b/>
          <w:bCs/>
        </w:rPr>
        <w:t xml:space="preserve">minimum delivery complexity required to produce the best clinical and behavioural outcome.</w:t>
      </w:r>
    </w:p>
    <w:p>
      <w:pPr>
        <w:pStyle w:val="BodyText"/>
      </w:pPr>
      <w:r>
        <w:t xml:space="preserve">That distinction matters.</w:t>
      </w:r>
    </w:p>
    <w:p>
      <w:pPr>
        <w:pStyle w:val="BodyText"/>
      </w:pPr>
      <w:r>
        <w:t xml:space="preserve">A drug-eluting stent needs sophisticated local delivery because a tablet cannot suppress restenosis only where the stent injured the artery.</w:t>
      </w:r>
    </w:p>
    <w:p>
      <w:pPr>
        <w:pStyle w:val="BodyText"/>
      </w:pPr>
      <w:r>
        <w:t xml:space="preserve">An inhaler needs engineered aerosol delivery because swallowing the same corticosteroid does not create the same lung exposure.</w:t>
      </w:r>
    </w:p>
    <w:p>
      <w:pPr>
        <w:pStyle w:val="BodyText"/>
      </w:pPr>
      <w:r>
        <w:t xml:space="preserve">An insulin pump needs continuous delivery because intermittent injections cannot replicate algorithm-controlled dosing throughout the day.</w:t>
      </w:r>
    </w:p>
    <w:p>
      <w:pPr>
        <w:pStyle w:val="BodyText"/>
      </w:pPr>
      <w:r>
        <w:t xml:space="preserve">A contraceptive implant needs a physical implant because its value comes from removing years of repeated adherence.</w:t>
      </w:r>
    </w:p>
    <w:p>
      <w:pPr>
        <w:pStyle w:val="BodyText"/>
      </w:pPr>
      <w:r>
        <w:t xml:space="preserve">A weekly GLP-1 injection is different. Its device may be excellent, but a sufficiently good oral molecule can attack the reason the device exists.</w:t>
      </w:r>
    </w:p>
    <w:p>
      <w:pPr>
        <w:pStyle w:val="BodyText"/>
      </w:pPr>
      <w:r>
        <w:t xml:space="preserve">This is why we think the most important mistake investors can make is to equate</w:t>
      </w:r>
      <w:r>
        <w:t xml:space="preserve"> </w:t>
      </w:r>
      <w:r>
        <w:rPr>
          <w:b/>
          <w:bCs/>
        </w:rPr>
        <w:t xml:space="preserve">device complexity with competitive advantage</w:t>
      </w:r>
      <w:r>
        <w:t xml:space="preserve">.</w:t>
      </w:r>
    </w:p>
    <w:p>
      <w:pPr>
        <w:pStyle w:val="BodyText"/>
      </w:pPr>
      <w:r>
        <w:t xml:space="preserve">We would instead ask four questions:</w:t>
      </w:r>
    </w:p>
    <w:p>
      <w:pPr>
        <w:pStyle w:val="BodyText"/>
      </w:pPr>
      <w:r>
        <w:rPr>
          <w:b/>
          <w:bCs/>
        </w:rPr>
        <w:t xml:space="preserve">Does the device alter where or how the drug works?</w:t>
      </w:r>
    </w:p>
    <w:p>
      <w:pPr>
        <w:pStyle w:val="BodyText"/>
      </w:pPr>
      <w:r>
        <w:rPr>
          <w:b/>
          <w:bCs/>
        </w:rPr>
        <w:t xml:space="preserve">Does it remove enough patient burden to change adoption or persistence?</w:t>
      </w:r>
    </w:p>
    <w:p>
      <w:pPr>
        <w:pStyle w:val="BodyText"/>
      </w:pPr>
      <w:r>
        <w:rPr>
          <w:b/>
          <w:bCs/>
        </w:rPr>
        <w:t xml:space="preserve">Can competitors source essentially the same device from a specialist supplier?</w:t>
      </w:r>
    </w:p>
    <w:p>
      <w:pPr>
        <w:pStyle w:val="BodyText"/>
      </w:pPr>
      <w:r>
        <w:rPr>
          <w:b/>
          <w:bCs/>
        </w:rPr>
        <w:t xml:space="preserve">Does the economics still work after paying for the additional hardware and manufacturing complexity?</w:t>
      </w:r>
    </w:p>
    <w:p>
      <w:pPr>
        <w:pStyle w:val="BodyText"/>
      </w:pPr>
      <w:r>
        <w:t xml:space="preserve">The answer differs sharply across the six platforms.</w:t>
      </w:r>
    </w:p>
    <w:p>
      <w:pPr>
        <w:pStyle w:val="BodyText"/>
      </w:pPr>
      <w:r>
        <w:t xml:space="preserve">For Indian pharma, this leaves us with a narrower but more useful investment conclusion.</w:t>
      </w:r>
      <w:r>
        <w:t xml:space="preserve"> </w:t>
      </w:r>
      <w:r>
        <w:rPr>
          <w:b/>
          <w:bCs/>
        </w:rPr>
        <w:t xml:space="preserve">Inhalation is already a proven complex-product moat. Reusable injection systems could be particularly relevant in price-sensitive chronic markets. Transdermal remains a selective formulation opportunity. Pumps are clinically attractive but economically early for India. Long-acting contraception is underpenetrated but infrastructure constrained. And simple access to a pen does not mean a company owns a device franchise.</w:t>
      </w:r>
    </w:p>
    <w:p>
      <w:pPr>
        <w:pStyle w:val="BodyText"/>
      </w:pPr>
      <w:r>
        <w:t xml:space="preserve">That is why we rank</w:t>
      </w:r>
      <w:r>
        <w:t xml:space="preserve"> </w:t>
      </w:r>
      <w:r>
        <w:rPr>
          <w:b/>
          <w:bCs/>
        </w:rPr>
        <w:t xml:space="preserve">Zydus first for breadth, Lupin first for proven high-barrier respiratory capability, and Sun as the company whose exposure changes most if Organon closes.</w:t>
      </w:r>
    </w:p>
    <w:p>
      <w:pPr>
        <w:pStyle w:val="BodyText"/>
      </w:pPr>
      <w:r>
        <w:t xml:space="preserve">The winner in advanced drug delivery will not be the company with the most devices.</w:t>
      </w:r>
    </w:p>
    <w:p>
      <w:pPr>
        <w:pStyle w:val="BodyText"/>
      </w:pPr>
      <w:r>
        <w:rPr>
          <w:b/>
          <w:bCs/>
        </w:rPr>
        <w:t xml:space="preserve">It will be the company that knows when the device is worth paying for.</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