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2D5F" w:rsidRDefault="00462D5F" w:rsidP="00462D5F">
      <w:pPr>
        <w:pStyle w:val="NormalWeb"/>
      </w:pPr>
      <w:r>
        <w:rPr>
          <w:rStyle w:val="Strong"/>
        </w:rPr>
        <w:t>Broad global consumer health trends</w:t>
      </w:r>
    </w:p>
    <w:p w:rsidR="00462D5F" w:rsidRDefault="00462D5F" w:rsidP="00462D5F">
      <w:pPr>
        <w:pStyle w:val="NormalWeb"/>
      </w:pPr>
      <w:r>
        <w:t>Global consumer health is shifting from episodic treatment to continuous self-optimization: metabolic health, healthy ageing, skin and aesthetics, women’s health, gut health, sleep, immunity and preventive care. Consumers want visible outcomes, convenience, personalization and clinical credibility, creating Rx-adjacent pools where science-backed brands can earn trust.</w:t>
      </w:r>
    </w:p>
    <w:p w:rsidR="00462D5F" w:rsidRDefault="00462D5F" w:rsidP="00462D5F">
      <w:pPr>
        <w:pStyle w:val="NormalWeb"/>
      </w:pPr>
      <w:r>
        <w:rPr>
          <w:rStyle w:val="Strong"/>
        </w:rPr>
        <w:t>How Indian biopharma is converting these trends into revenue strategies</w:t>
      </w:r>
    </w:p>
    <w:p w:rsidR="00462D5F" w:rsidRDefault="00462D5F" w:rsidP="00462D5F">
      <w:pPr>
        <w:pStyle w:val="NormalWeb"/>
      </w:pPr>
      <w:r>
        <w:t>Indian biopharma is responding through premium chronic brands, derma, nutrition, women’s health, metabolic adjacencies, complex dosage forms, biologics, sterile manufacturing and CDMO. The model is shifting from SKU proliferation and low-cost supply to condition ownership, HCP education, lifecycle management and regulatory-grade reliability.</w:t>
      </w:r>
    </w:p>
    <w:p w:rsidR="00462D5F" w:rsidRDefault="00462D5F" w:rsidP="00462D5F">
      <w:pPr>
        <w:pStyle w:val="NormalWeb"/>
      </w:pPr>
      <w:r>
        <w:rPr>
          <w:rStyle w:val="Strong"/>
        </w:rPr>
        <w:t>Impact of geopolitics and tariffs on long-term profitability</w:t>
      </w:r>
    </w:p>
    <w:p w:rsidR="00462D5F" w:rsidRDefault="00462D5F" w:rsidP="00462D5F">
      <w:pPr>
        <w:pStyle w:val="NormalWeb"/>
      </w:pPr>
      <w:r>
        <w:t>Geopolitics is a margin volatility risk, not a demand impairment risk. China-linked tariffs raise API and KSM procurement risk, while finished-drug reviews raise localization, redundancy and compliance costs. India can benefit from supply-chain diversification, but near-term profitability may be diluted by buffers, capex and slower pass-through.</w:t>
      </w:r>
    </w:p>
    <w:p w:rsidR="00462D5F" w:rsidRDefault="00462D5F" w:rsidP="00462D5F">
      <w:pPr>
        <w:pStyle w:val="NormalWeb"/>
      </w:pPr>
      <w:r>
        <w:rPr>
          <w:rStyle w:val="Strong"/>
        </w:rPr>
        <w:t>Niche areas for volume-to-value transition</w:t>
      </w:r>
    </w:p>
    <w:p w:rsidR="00462D5F" w:rsidRDefault="00462D5F" w:rsidP="00462D5F">
      <w:pPr>
        <w:pStyle w:val="NormalWeb"/>
      </w:pPr>
      <w:r>
        <w:t>The strongest value migration sits in peptides, complex injectables, sterile products, biosimilars, high-potency APIs, differentiated delivery, specialty derma, aesthetics, vaccines and regulated CDMO. These areas reward process depth, regulatory trust and supply reliability, not just low-cost chemistry.</w:t>
      </w:r>
    </w:p>
    <w:p w:rsidR="00462D5F" w:rsidRDefault="00462D5F" w:rsidP="00462D5F">
      <w:pPr>
        <w:pStyle w:val="NormalWeb"/>
      </w:pPr>
      <w:r>
        <w:rPr>
          <w:rStyle w:val="Strong"/>
        </w:rPr>
        <w:t>GLP-1 opportunity and patient retention</w:t>
      </w:r>
    </w:p>
    <w:p w:rsidR="00462D5F" w:rsidRDefault="00462D5F" w:rsidP="00462D5F">
      <w:pPr>
        <w:pStyle w:val="NormalWeb"/>
      </w:pPr>
      <w:r>
        <w:t>GLP-1 is not a failed opportunity, but profit pools should normalize as supply expands, competition rises and payers scrutinize access. Retention will depend on HCP-led initiation, titration support, side-effect management, nutrition counselling, refill reliability and affordability. In India, education must be disease-led, not promotion-led.</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D5F"/>
    <w:rsid w:val="00462D5F"/>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B811C74-3A8C-2F4E-8CE5-1B3FB0BF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2D5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2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96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2026-06-18T09:45:00Z</dcterms:created>
  <dcterms:modified xsi:type="dcterms:W3CDTF">2026-06-18T09:45:00Z</dcterms:modified>
</cp:coreProperties>
</file>