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Shilpa Medicare Business Primer</w:t>
      </w:r>
    </w:p>
    <w:p>
      <w:pPr>
        <w:pStyle w:val="Deck"/>
      </w:pPr>
      <w:r>
        <w:t>What the company sells, who pays for it and what its margins tell us</w:t>
      </w:r>
    </w:p>
    <w:p>
      <w:pPr>
        <w:pStyle w:val="Small"/>
      </w:pPr>
      <w:r>
        <w:t>22 September 2026  |  FY26 refers to the year ended 31 March 2026  |  ₹ crore unless stated</w:t>
      </w:r>
    </w:p>
    <w:p>
      <w:pPr>
        <w:pStyle w:val="Heading1"/>
      </w:pPr>
      <w:r>
        <w:t>The business in one minute</w:t>
      </w:r>
    </w:p>
    <w:p>
      <w:r>
        <w:t>Shilpa sells three things: pharmaceutical ingredients to medicine manufacturers, finished medicines largely through marketing partners, and development, licensing and manufacturing services. Management allocates FY26 group income of about ₹1,549 crore to APIs ₹769 crore, finished formulations ₹618 crore, biologics ₹149 crore and other ₹13 crore. These amounts are the consolidated management view. Internal API sales to Shilpa’s own formulations business must be removed in consolidation. [1]</w:t>
      </w:r>
    </w:p>
    <w:p>
      <w:r>
        <w:t>The key distinction is between a development payment and a recurring shipment. The first can be sizeable and profitable in the quarter recognised. The second tells us whether a product has become a durable business. For Shilpa, the formulations business now has substantial product shipments; biologics revenue remains heavily weighted to services in its principal subsidiary’s accounts. [1, 3, 5]</w:t>
      </w:r>
    </w:p>
    <w:p>
      <w:pPr>
        <w:pStyle w:val="Heading1"/>
      </w:pPr>
      <w:r>
        <w:t>Ingredients</w:t>
      </w:r>
    </w:p>
    <w:p>
      <w:r>
        <w:t>Shilpa Pharma Lifesciences makes the active pharmaceutical ingredient, or API, that another manufacturer puts into a finished medicine. Customers include outside pharmaceutical companies and Shilpa’s own formulations factories. The plant economics follow kilograms sold, price per kilogram, process yield and capacity utilisation. Product approval and a drug master file make supply possible; they do not by themselves create an order. [1, 2]</w:t>
      </w:r>
    </w:p>
    <w:p>
      <w:r>
        <w:rPr>
          <w:b/>
        </w:rPr>
        <w:t xml:space="preserve">Oncology APIs. </w:t>
      </w:r>
      <w:r>
        <w:t>FY26 gross sales were ₹455 crore. Established manufacturing work includes ingredients for ibrutinib, nilotinib, bortezomib and temozolomide. Palbociclib and olaparib completed process validation in FY26, so their eventual commercial scale still needs to be earned. These APIs ultimately serve cancer therapies, but Shilpa usually invoices a manufacturer for the ingredient rather than selling the treatment to a patient. [1]</w:t>
      </w:r>
    </w:p>
    <w:p>
      <w:r>
        <w:rPr>
          <w:b/>
        </w:rPr>
        <w:t xml:space="preserve">Non-oncology APIs. </w:t>
      </w:r>
      <w:r>
        <w:t>FY26 gross sales were ₹390 crore. UDCA is used in liver disease and tranexamic acid in bleeding. Mycophenolate mofetil, an immunosuppressant, was validated during the year. Semaglutide process validation and a planned peptide manufacturing block represent future capacity; they should not be counted as an existing commercial semaglutide franchise. [1, 5]</w:t>
      </w:r>
    </w:p>
    <w:p>
      <w:r>
        <w:rPr>
          <w:b/>
        </w:rPr>
        <w:t xml:space="preserve">Specialty API CDMO. </w:t>
      </w:r>
      <w:r>
        <w:t>FY26 revenue was ₹110 crore, down from ₹126 crore. A customer pays for development and clinical material first; regular commercial batches can follow if its drug succeeds and wins approval. The portfolio has more than 25 programmes, but management said only one group CDMO product was commercial in August 2026. The ₹110 crore is already included within gross API activity. It cannot be added to group API revenue again. [1, 5]</w:t>
      </w:r>
    </w:p>
    <w:p>
      <w:r>
        <w:t>These components plus ₹30 crore of other API activity make ₹985 crore of gross FY26 API turnover. That includes ingredients Shilpa sold to its own group. Management’s consolidated API contribution was ₹769 crore. The API subsidiary’s accounts separately show ₹964 crore of API product sales and ₹20 crore of product development revenue, as well as about ₹206 crore of sales of goods and services to the listed parent. This is why gross API growth and group API growth differ. [1, 2]</w:t>
      </w:r>
    </w:p>
    <w:p>
      <w:r>
        <w:t>The subsidiary earned ₹112 crore of FY26 pretax profit on ₹985 crore turnover, an 11.4% legal-entity pretax margin. It includes internal sales, interest and entity-level costs. It is not a disclosed consolidated API segment margin. [2]</w:t>
      </w:r>
    </w:p>
    <w:p>
      <w:pPr>
        <w:pStyle w:val="Heading1"/>
      </w:pPr>
      <w:r>
        <w:t>Finished medicines</w:t>
      </w:r>
    </w:p>
    <w:p>
      <w:r>
        <w:t>Here Shilpa develops the final dosage form, often using an internally made API. It makes oncology tablets and injections at Jadcherla, and patches and oral dissolving films at Dabaspet. In most overseas markets a partner registers, distributes and markets the product. Shilpa can receive a licence or milestone payment and then revenue from supplying the finished medicine. Its share of the partner’s eventual patient sales is not disclosed product by product. [1, 5]</w:t>
      </w:r>
    </w:p>
    <w:p>
      <w:r>
        <w:rPr>
          <w:b/>
        </w:rPr>
        <w:t xml:space="preserve">United States, ₹80 crore in FY26. </w:t>
      </w:r>
      <w:r>
        <w:t>The clearest current products are partnered ready-to-use pemetrexed and subcutaneous bortezomib injections, both used in cancer care. Their attraction is a prepared presentation of an established molecule. Q1 FY27 US formulations revenue reached ₹45 crore, versus roughly ₹4 crore a year earlier. The next test is repeat partner orders and sustained supply, rather than annualising one strong quarter without evidence. [1, 5]</w:t>
      </w:r>
    </w:p>
    <w:p>
      <w:r>
        <w:rPr>
          <w:b/>
        </w:rPr>
        <w:t xml:space="preserve">Europe, ₹223 crore. </w:t>
      </w:r>
      <w:r>
        <w:t>This is a mix of partnered oncology and other differentiated generics, including nilotinib. Shipments can move between quarters as tenders and partner orders change. Rotigotine, a patch for Parkinson’s disease, received European marketing authorisation and was planned for launch in FY27; it should not be treated as the source of FY26 sales. [1, 5]</w:t>
      </w:r>
    </w:p>
    <w:p>
      <w:r>
        <w:rPr>
          <w:b/>
        </w:rPr>
        <w:t xml:space="preserve">Other overseas markets, ₹123 crore. </w:t>
      </w:r>
      <w:r>
        <w:t>Shilpa supplies approved formulations through regional partners and tenders. It does not disclose enough product detail to assign this revenue to individual therapies. [1]</w:t>
      </w:r>
    </w:p>
    <w:p>
      <w:r>
        <w:rPr>
          <w:b/>
        </w:rPr>
        <w:t xml:space="preserve">India, ₹72 crore. </w:t>
      </w:r>
      <w:r>
        <w:t>Noduca, the company’s norUDCA medicine for fatty-liver disease, was launched through Shilpa’s own label and three marketing partners. It drove domestic growth, but Shilpa does not report Noduca sales separately, so the entire ₹72 crore cannot be attributed to it. OERIS, a long-acting ondansetron injection for chemotherapy-related nausea, received an SEC recommendation in September 2026; a final CDSCO marketing authorisation and commercial launch still need verification. [1, 6]</w:t>
      </w:r>
    </w:p>
    <w:p>
      <w:r>
        <w:rPr>
          <w:b/>
        </w:rPr>
        <w:t xml:space="preserve">Licensing and services, ₹120 crore. </w:t>
      </w:r>
      <w:r>
        <w:t>These are development and licensing payments associated with formulation assets. They sit alongside ₹498 crore of FY26 geographic product sales, together making ₹618 crore. In FY25 product sales were ₹284 crore and licensing and services ₹190 crore. Product sales therefore grew about 75% in FY26 even as the licence line fell. That is the clearest evidence that formulations are moving from development work toward commercial supply. [1]</w:t>
      </w:r>
    </w:p>
    <w:p>
      <w:r>
        <w:t>The next formulation assets have distinct economics. The US rotigotine application and planned European launch depend on partner orders and transfer prices. Shilpa is the API and finished-dose contractor for Unicycive’s investigational oxylanthanum carbonate in dialysis, so its potential revenue is fees, milestones and supply, not Unicycive’s full US drug sales. FDA manufacturing issues have delayed that sponsor’s application. [5, 7]</w:t>
      </w:r>
    </w:p>
    <w:p>
      <w:pPr>
        <w:pStyle w:val="Heading1"/>
      </w:pPr>
      <w:r>
        <w:t>Biologics and albumin</w:t>
      </w:r>
    </w:p>
    <w:p>
      <w:r>
        <w:t>Shilpa Biologicals makes protein medicines and offers development and manufacturing services at Dharwad. Group biologics income was ₹149 crore in FY26, compared with ₹75 crore in FY25. The marketed product with the clearest status is an adalimumab biosimilar in India for immune-mediated disease. Aflibercept for retinal disease is on an India approval and launch path. Nivolumab for cancer immunotherapy is in human studies in India; Orion holds European marketing rights under a development and supply agreement. Pembrolizumab and other biosimilars are earlier-stage programmes. [1, 5, 8]</w:t>
      </w:r>
    </w:p>
    <w:p>
      <w:r>
        <w:t>The revenue mix is more revealing than the list of molecules. Shilpa Biologicals’ audited standalone accounts show ₹157 crore of FY26 turnover, of which only ₹23 crore was sale of goods and ₹134 crore was sale of services. Against FY25, goods rose by about ₹4 crore and services by about ₹72 crore. This strongly indicates that the recent growth was led by development and service revenue rather than a sharp increase in biosimilar units. Standalone and consolidated figures are different because of internal transactions, so the ₹157 crore cannot be substituted for the ₹149 crore group division figure. [3]</w:t>
      </w:r>
    </w:p>
    <w:p>
      <w:r>
        <w:t>Shilpa Biologicals recorded a 27.6% pretax margin on its standalone turnover. With services accounting for 85% of that turnover, the number is not a reliable margin assumption for future commercial biosimilar batches. Contract terms, development spend and plant utilisation could produce a different margin when the mix changes. [3]</w:t>
      </w:r>
    </w:p>
    <w:p>
      <w:r>
        <w:t>Shilpa Biocare develops recombinant human albumin for potential therapeutic use and as a stabilising ingredient in other medicines. Orion has European commercial rights to the therapeutic programme. The Biocare subsidiary’s FY26 accounts record ₹61 crore of exported services, no product sales and a roughly ₹3 crore pretax loss. The therapeutic product was not a commercial albumin sales business in FY26. Biocare’s legal-entity turnover cannot simply be added to the group’s ₹149 crore biologics figure without a consolidation bridge. [4, 9]</w:t>
      </w:r>
    </w:p>
    <w:p>
      <w:pPr>
        <w:pStyle w:val="Heading1"/>
      </w:pPr>
      <w:r>
        <w:t>What the margins actually tell us</w:t>
      </w:r>
    </w:p>
    <w:p>
      <w:r>
        <w:t>The group reported roughly 70% gross margin and 29% EBITDA margin in FY26. It does not publish comparable EBITDA margins for APIs, formulations and biologics, or gross profit for Noduca, US injectables, adalimumab or the CDMO contracts. The API, Biologicals and Biocare pretax margins above come from separate legal-entity accounts; each contains a different mix of internal sales, services, depreciation and funding costs. None is a valid substitute for a molecule-level margin. [1–4]</w:t>
      </w:r>
    </w:p>
    <w:p>
      <w:r>
        <w:t>There is also a timing problem in the licence line. Management says development spending may precede the licence payment, and some programmes fail and are expensed. It declined to give a segregated licence or service margin. Treating all such fees as cost-free profit or as permanently recurring revenue would misread the business. [5]</w:t>
      </w:r>
    </w:p>
    <w:p>
      <w:r>
        <w:t>The practical conclusion is straightforward. APIs are the established manufacturing base. Finished medicines now have the strongest evidence of growing recurring product supply. Biologics have useful partner validation but FY26 subsidiary sales were predominantly services. Albumin remains a development business as a therapeutic product. To value any of them separately, we need product supply revenue, Shilpa’s net selling price, gross profit and the capital still required to sustain it. [1–5]</w:t>
      </w:r>
    </w:p>
    <w:p>
      <w:pPr>
        <w:pStyle w:val="Heading2"/>
      </w:pPr>
      <w:r>
        <w:t>Primary sources</w:t>
      </w:r>
    </w:p>
    <w:p>
      <w:pPr>
        <w:pStyle w:val="Small"/>
      </w:pPr>
      <w:hyperlink r:id="rId11">
        <w:r>
          <w:rPr>
            <w:color w:val="345A7D"/>
          </w:rPr>
          <w:t>1  Shilpa Medicare FY26 annual report</w:t>
        </w:r>
      </w:hyperlink>
      <w:r>
        <w:t xml:space="preserve">   |   </w:t>
      </w:r>
      <w:hyperlink r:id="rId12">
        <w:r>
          <w:rPr>
            <w:color w:val="345A7D"/>
          </w:rPr>
          <w:t>2  Shilpa Pharma Lifesciences FY26 standalone accounts</w:t>
        </w:r>
      </w:hyperlink>
      <w:r>
        <w:t xml:space="preserve">   |   </w:t>
      </w:r>
      <w:hyperlink r:id="rId13">
        <w:r>
          <w:rPr>
            <w:color w:val="345A7D"/>
          </w:rPr>
          <w:t>3  Shilpa Biologicals FY26 standalone accounts</w:t>
        </w:r>
      </w:hyperlink>
      <w:r>
        <w:t xml:space="preserve">   |   </w:t>
      </w:r>
      <w:hyperlink r:id="rId14">
        <w:r>
          <w:rPr>
            <w:color w:val="345A7D"/>
          </w:rPr>
          <w:t>4  Shilpa Biocare FY26 standalone accounts</w:t>
        </w:r>
      </w:hyperlink>
      <w:r>
        <w:t xml:space="preserve">   |   </w:t>
      </w:r>
      <w:hyperlink r:id="rId15">
        <w:r>
          <w:rPr>
            <w:color w:val="345A7D"/>
          </w:rPr>
          <w:t>5  Q1 FY27 investor presentation and earnings call</w:t>
        </w:r>
      </w:hyperlink>
      <w:r>
        <w:t xml:space="preserve">   |   </w:t>
      </w:r>
      <w:hyperlink r:id="rId16">
        <w:r>
          <w:rPr>
            <w:color w:val="345A7D"/>
          </w:rPr>
          <w:t>6  Shilpa OERIS SEC announcement</w:t>
        </w:r>
      </w:hyperlink>
      <w:r>
        <w:t xml:space="preserve">   |   </w:t>
      </w:r>
      <w:hyperlink r:id="rId17">
        <w:r>
          <w:rPr>
            <w:color w:val="345A7D"/>
          </w:rPr>
          <w:t>7  Unicycive OLC complete response letter</w:t>
        </w:r>
      </w:hyperlink>
      <w:r>
        <w:t xml:space="preserve">   |   </w:t>
      </w:r>
      <w:hyperlink r:id="rId18">
        <w:r>
          <w:rPr>
            <w:color w:val="345A7D"/>
          </w:rPr>
          <w:t>8  Orion nivolumab agreement</w:t>
        </w:r>
      </w:hyperlink>
      <w:r>
        <w:t xml:space="preserve">   |   </w:t>
      </w:r>
      <w:hyperlink r:id="rId19">
        <w:r>
          <w:rPr>
            <w:color w:val="345A7D"/>
          </w:rPr>
          <w:t>9  Orion albumin agreement</w:t>
        </w:r>
      </w:hyperlink>
    </w:p>
    <w:p>
      <w:pPr>
        <w:pStyle w:val="Small"/>
      </w:pPr>
      <w:r>
        <w:t xml:space="preserve">The August 2026 earnings call transcript is available </w:t>
      </w:r>
      <w:hyperlink r:id="rId20">
        <w:r>
          <w:rPr>
            <w:color w:val="345A7D"/>
          </w:rPr>
          <w:t>here</w:t>
        </w:r>
      </w:hyperlink>
      <w:r>
        <w:t>.</w:t>
      </w:r>
    </w:p>
    <w:sectPr w:rsidR="00FC693F" w:rsidRPr="0006063C" w:rsidSect="00034616">
      <w:headerReference w:type="default" r:id="rId9"/>
      <w:footerReference w:type="default" r:id="rId10"/>
      <w:pgSz w:w="11909" w:h="16834"/>
      <w:pgMar w:top="1051" w:right="1224" w:bottom="979" w:left="1224"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4"/>
      </w:rPr>
      <w:t xml:space="preserve">Research primer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4"/>
      </w:rPr>
      <w:t>SHILPA MEDICARE  |  BUSINESS UNDERSTANDING  |  22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90"/>
    </w:pPr>
    <w:rPr>
      <w:rFonts w:ascii="Aptos" w:hAnsi="Aptos"/>
      <w:color w:val="1C2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160"/>
    </w:pPr>
    <w:rPr>
      <w:rFonts w:ascii="Aptos" w:hAnsi="Aptos"/>
      <w:color w:val="000000"/>
      <w:sz w:val="20"/>
    </w:rPr>
  </w:style>
  <w:style w:type="paragraph" w:customStyle="1" w:styleId="Small">
    <w:name w:val="Small"/>
    <w:pPr>
      <w:spacing w:after="60"/>
    </w:pPr>
    <w:rPr>
      <w:rFonts w:ascii="Aptos" w:hAnsi="Aptos"/>
      <w:color w:val="41474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bshilpa.com/pdf/Annual-report-results-2025-2026.pdf" TargetMode="External"/><Relationship Id="rId12" Type="http://schemas.openxmlformats.org/officeDocument/2006/relationships/hyperlink" Target="https://vbshilpa.com/pdf/Shilpa%20Pharma%20Lifesciences%20Limited-Standalone%20FY-25-26.pdf" TargetMode="External"/><Relationship Id="rId13" Type="http://schemas.openxmlformats.org/officeDocument/2006/relationships/hyperlink" Target="https://vbshilpa.com/pdf/Shilpa%20Biologicals%20Private%20Limited,%20FY%202025-26.pdf" TargetMode="External"/><Relationship Id="rId14" Type="http://schemas.openxmlformats.org/officeDocument/2006/relationships/hyperlink" Target="https://vbshilpa.com/pdf/Shilpa%20Biocare%20Private%20Limited,%20FY%202025-26.pdf" TargetMode="External"/><Relationship Id="rId15" Type="http://schemas.openxmlformats.org/officeDocument/2006/relationships/hyperlink" Target="https://www.vbshilpa.com/pdf/Investor%20Presentation%20for%20the%20Quarter%20ended%2030%20June%202026.pdf" TargetMode="External"/><Relationship Id="rId16" Type="http://schemas.openxmlformats.org/officeDocument/2006/relationships/hyperlink" Target="https://vbshilpa.com/pdf/OERIS%20final%20approval%20from%20SEC.pdf" TargetMode="External"/><Relationship Id="rId17" Type="http://schemas.openxmlformats.org/officeDocument/2006/relationships/hyperlink" Target="https://ir.unicycive.com/news/detail/123/unicycive-therapeutics-receives-complete-response-letter" TargetMode="External"/><Relationship Id="rId18" Type="http://schemas.openxmlformats.org/officeDocument/2006/relationships/hyperlink" Target="https://production.orionpharma.com/newsroom/all-news/releases/press-releases/2026/orion-pharma-announces-agreement-with-shilpa-medicare-for-nivolumab-biosimilar-for-european-market/" TargetMode="External"/><Relationship Id="rId19" Type="http://schemas.openxmlformats.org/officeDocument/2006/relationships/hyperlink" Target="https://www.orionpharma.com/newsroom/all-news/releases/press-releases/2025/orion-announces-agreement-with-shilpa-medicare-for-recombinant-human-albumin-for-european-market/" TargetMode="External"/><Relationship Id="rId20" Type="http://schemas.openxmlformats.org/officeDocument/2006/relationships/hyperlink" Target="https://www.vbshilpa.com/pdf/Investor%20call%20transcript%2005.08.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