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pStyle w:val="Title"/>
        <w:jc w:val="left"/>
      </w:pPr>
      <w:r>
        <w:rPr>
          <w:rFonts w:ascii="Arial" w:hAnsi="Arial"/>
          <w:b/>
          <w:color w:val="000000"/>
          <w:sz w:val="50"/>
        </w:rPr>
        <w:t>Abbott India Business Primer</w:t>
      </w:r>
    </w:p>
    <w:p>
      <w:pPr>
        <w:pStyle w:val="Subtitle"/>
      </w:pPr>
      <w:r>
        <w:rPr>
          <w:rFonts w:ascii="Arial" w:hAnsi="Arial"/>
          <w:color w:val="404040"/>
          <w:sz w:val="24"/>
        </w:rPr>
        <w:t>First principles business and earnings framework</w:t>
      </w:r>
    </w:p>
    <w:p>
      <w:pPr>
        <w:spacing w:after="2800"/>
      </w:pPr>
    </w:p>
    <w:p>
      <w:pPr>
        <w:spacing w:after="80"/>
      </w:pPr>
      <w:r>
        <w:rPr>
          <w:rFonts w:ascii="Arial" w:hAnsi="Arial"/>
          <w:b/>
          <w:color w:val="000000"/>
          <w:sz w:val="21"/>
        </w:rPr>
        <w:t>Prepared for India Healthcare initiation work</w:t>
      </w:r>
    </w:p>
    <w:p>
      <w:r>
        <w:rPr>
          <w:rFonts w:ascii="Arial" w:hAnsi="Arial"/>
          <w:color w:val="595959"/>
          <w:sz w:val="19"/>
        </w:rPr>
        <w:t>Evidence current through 24 September 2026</w:t>
      </w:r>
    </w:p>
    <w:p>
      <w:r>
        <w:rPr>
          <w:rFonts w:ascii="Arial" w:hAnsi="Arial"/>
          <w:color w:val="595959"/>
          <w:sz w:val="19"/>
        </w:rPr>
        <w:t>Financial year reference 31 March year end</w:t>
      </w:r>
    </w:p>
    <w:p>
      <w:r>
        <w:br w:type="page"/>
      </w:r>
    </w:p>
    <w:p>
      <w:pPr>
        <w:pStyle w:val="Heading1"/>
      </w:pPr>
      <w:r>
        <w:rPr>
          <w:rFonts w:ascii="Arial" w:hAnsi="Arial"/>
          <w:b/>
          <w:color w:val="000000"/>
          <w:sz w:val="32"/>
        </w:rPr>
        <w:t>Executive view</w:t>
      </w:r>
    </w:p>
    <w:p>
      <w:pPr>
        <w:keepLines w:val="0"/>
      </w:pPr>
      <w:r>
        <w:rPr>
          <w:rFonts w:ascii="Arial" w:hAnsi="Arial"/>
          <w:color w:val="000000"/>
          <w:sz w:val="21"/>
        </w:rPr>
        <w:t>Abbott India is best understood as an Indian branded-pharmaceutical commercialization platform with three unusual strengths: a portfolio of deeply entrenched prescription brands, a large field and medical-engagement engine, and access to global or partner products without carrying discovery-stage research risk. The listed company is not the whole Abbott ecosystem in India. Nutrition, diagnostics, medical devices and continuous glucose monitoring largely sit outside the listed entity, even though management can use the broader Abbott relationship to strengthen physician access and product partnerships.</w:t>
      </w:r>
      <w:r>
        <w:rPr>
          <w:rFonts w:ascii="Arial" w:hAnsi="Arial"/>
          <w:color w:val="595959"/>
          <w:sz w:val="15"/>
          <w:vertAlign w:val="superscript"/>
        </w:rPr>
        <w:t xml:space="preserve"> [1]</w:t>
      </w:r>
    </w:p>
    <w:p>
      <w:pPr>
        <w:keepLines w:val="0"/>
      </w:pPr>
      <w:r>
        <w:rPr>
          <w:rFonts w:ascii="Arial" w:hAnsi="Arial"/>
          <w:color w:val="000000"/>
          <w:sz w:val="21"/>
        </w:rPr>
        <w:t>The core earnings engine is mature but far from exhausted. Gastrointestinal brands such as Udiliv, Duphalac, Cremaffin, Digene, Creon and Ganaton benefit from repeat use, physician familiarity and broad specialist coverage. Thyronorm dominates the thyroid franchise, Duphaston anchors women’s health, Vertin anchors vertigo, Arachitol drives vitamin D, and Influvac supports adult vaccination. These are mostly off-patent molecules. The moat therefore comes from brand trust, diagnostic and treatment habits, distribution, evidence generation, formulation extensions and prescriber reach rather than patent exclusivity.</w:t>
      </w:r>
      <w:r>
        <w:rPr>
          <w:rFonts w:ascii="Arial" w:hAnsi="Arial"/>
          <w:color w:val="595959"/>
          <w:sz w:val="15"/>
          <w:vertAlign w:val="superscript"/>
        </w:rPr>
        <w:t xml:space="preserve"> [1]</w:t>
      </w:r>
    </w:p>
    <w:p>
      <w:pPr>
        <w:keepLines w:val="0"/>
      </w:pPr>
      <w:r>
        <w:rPr>
          <w:rFonts w:ascii="Arial" w:hAnsi="Arial"/>
          <w:color w:val="000000"/>
          <w:sz w:val="21"/>
        </w:rPr>
        <w:t>The next growth layer is a build-and-partner model. In FY26 the company introduced Extensior, Novo Nordisk’s originator semaglutide for type 2 diabetes, under an exclusive licensing and commercialization arrangement. Abbott supplies the Indian commercial platform, while Novo develops and manufactures the molecule. The strategic fit is clear, but the economics will differ from an owned legacy brand: gross margin, working capital and partner terms matter as much as reported sales. Competition also rose sharply after the Indian semaglutide patent expired in March 2026, making Extensior a high-growth but execution-sensitive launch rather than a risk-free growth driver.</w:t>
      </w:r>
      <w:r>
        <w:rPr>
          <w:rFonts w:ascii="Arial" w:hAnsi="Arial"/>
          <w:color w:val="595959"/>
          <w:sz w:val="15"/>
          <w:vertAlign w:val="superscript"/>
        </w:rPr>
        <w:t xml:space="preserve"> [2]</w:t>
      </w:r>
    </w:p>
    <w:p>
      <w:pPr>
        <w:keepLines w:val="0"/>
      </w:pPr>
      <w:r>
        <w:rPr>
          <w:rFonts w:ascii="Arial" w:hAnsi="Arial"/>
          <w:color w:val="000000"/>
          <w:sz w:val="21"/>
        </w:rPr>
        <w:t>The financial profile is exceptional for an Indian formulations company. FY26 revenue was ₹6,929 crore, EBITDA ₹2,180 crore and PAT ₹1,552 crore. Revenue grew 8.1%, while EBITDA and PAT grew 10.6% and 9.7%, respectively. EBITDA margin rose to 31.5% from 30.7%, and operating cash flow reached ₹1,319 crore. The balance sheet held about ₹4,433 crore of cash and term deposits against ₹172 crore of lease liabilities. Dividend payout was approximately 90% of PAT. The stock debate is therefore less about financial resilience and more about whether the company can sustain market-beating revenue growth as legacy brands mature, price controls persist and new partnered products carry different economics.</w:t>
      </w:r>
      <w:r>
        <w:rPr>
          <w:rFonts w:ascii="Arial" w:hAnsi="Arial"/>
          <w:color w:val="595959"/>
          <w:sz w:val="15"/>
          <w:vertAlign w:val="superscript"/>
        </w:rPr>
        <w:t xml:space="preserve"> [1]</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2376"/>
            <w:shd w:fill="17324D"/>
            <w:tcMar>
              <w:top w:w="95" w:type="dxa"/>
              <w:start w:w="100" w:type="dxa"/>
              <w:bottom w:w="95" w:type="dxa"/>
              <w:end w:w="100" w:type="dxa"/>
            </w:tcMar>
            <w:vAlign w:val="center"/>
          </w:tcPr>
          <w:p>
            <w:pPr>
              <w:spacing w:after="0"/>
              <w:jc w:val="center"/>
            </w:pPr>
            <w:r>
              <w:rPr>
                <w:rFonts w:ascii="Arial" w:hAnsi="Arial"/>
                <w:b/>
                <w:color w:val="FFFFFF"/>
                <w:sz w:val="17"/>
              </w:rPr>
              <w:t>Question</w:t>
            </w:r>
          </w:p>
        </w:tc>
        <w:tc>
          <w:tcPr>
            <w:tcW w:type="dxa" w:w="7560"/>
            <w:shd w:fill="17324D"/>
            <w:tcMar>
              <w:top w:w="95" w:type="dxa"/>
              <w:start w:w="100" w:type="dxa"/>
              <w:bottom w:w="95" w:type="dxa"/>
              <w:end w:w="100" w:type="dxa"/>
            </w:tcMar>
            <w:vAlign w:val="center"/>
          </w:tcPr>
          <w:p>
            <w:pPr>
              <w:spacing w:after="0"/>
              <w:jc w:val="center"/>
            </w:pPr>
            <w:r>
              <w:rPr>
                <w:rFonts w:ascii="Arial" w:hAnsi="Arial"/>
                <w:b/>
                <w:color w:val="FFFFFF"/>
                <w:sz w:val="17"/>
              </w:rPr>
              <w:t>Answer</w:t>
            </w:r>
          </w:p>
        </w:tc>
      </w:tr>
      <w:tr>
        <w:trPr>
          <w:cantSplit/>
        </w:trPr>
        <w:tc>
          <w:tcPr>
            <w:tcW w:type="dxa" w:w="2376"/>
            <w:tcMar>
              <w:top w:w="85" w:type="dxa"/>
              <w:start w:w="100" w:type="dxa"/>
              <w:bottom w:w="85" w:type="dxa"/>
              <w:end w:w="100" w:type="dxa"/>
            </w:tcMar>
            <w:vAlign w:val="center"/>
          </w:tcPr>
          <w:p>
            <w:pPr>
              <w:spacing w:after="0"/>
              <w:jc w:val="left"/>
            </w:pPr>
            <w:r>
              <w:rPr>
                <w:rFonts w:ascii="Arial" w:hAnsi="Arial"/>
                <w:color w:val="000000"/>
                <w:sz w:val="17"/>
              </w:rPr>
              <w:t>What is the listed company</w:t>
            </w:r>
          </w:p>
        </w:tc>
        <w:tc>
          <w:tcPr>
            <w:tcW w:type="dxa" w:w="7560"/>
            <w:tcMar>
              <w:top w:w="85" w:type="dxa"/>
              <w:start w:w="100" w:type="dxa"/>
              <w:bottom w:w="85" w:type="dxa"/>
              <w:end w:w="100" w:type="dxa"/>
            </w:tcMar>
            <w:vAlign w:val="center"/>
          </w:tcPr>
          <w:p>
            <w:pPr>
              <w:spacing w:after="0"/>
              <w:jc w:val="left"/>
            </w:pPr>
            <w:r>
              <w:rPr>
                <w:rFonts w:ascii="Arial" w:hAnsi="Arial"/>
                <w:color w:val="000000"/>
                <w:sz w:val="17"/>
              </w:rPr>
              <w:t>A single-segment pharmaceuticals company that manufactures, markets, sells and distributes branded medicines, with 98.8% of goods revenue from India in FY26.</w:t>
            </w:r>
          </w:p>
        </w:tc>
      </w:tr>
      <w:tr>
        <w:trPr>
          <w:cantSplit/>
        </w:trPr>
        <w:tc>
          <w:tcPr>
            <w:tcW w:type="dxa" w:w="2376"/>
            <w:tcMar>
              <w:top w:w="85" w:type="dxa"/>
              <w:start w:w="100" w:type="dxa"/>
              <w:bottom w:w="85" w:type="dxa"/>
              <w:end w:w="100" w:type="dxa"/>
            </w:tcMar>
            <w:shd w:fill="F4F7FA"/>
            <w:vAlign w:val="center"/>
          </w:tcPr>
          <w:p>
            <w:pPr>
              <w:spacing w:after="0"/>
              <w:jc w:val="left"/>
            </w:pPr>
            <w:r>
              <w:rPr>
                <w:rFonts w:ascii="Arial" w:hAnsi="Arial"/>
                <w:color w:val="000000"/>
                <w:sz w:val="17"/>
              </w:rPr>
              <w:t>What drives revenue</w:t>
            </w:r>
          </w:p>
        </w:tc>
        <w:tc>
          <w:tcPr>
            <w:tcW w:type="dxa" w:w="7560"/>
            <w:tcMar>
              <w:top w:w="85" w:type="dxa"/>
              <w:start w:w="100" w:type="dxa"/>
              <w:bottom w:w="85" w:type="dxa"/>
              <w:end w:w="100" w:type="dxa"/>
            </w:tcMar>
            <w:shd w:fill="F4F7FA"/>
            <w:vAlign w:val="center"/>
          </w:tcPr>
          <w:p>
            <w:pPr>
              <w:spacing w:after="0"/>
              <w:jc w:val="left"/>
            </w:pPr>
            <w:r>
              <w:rPr>
                <w:rFonts w:ascii="Arial" w:hAnsi="Arial"/>
                <w:color w:val="000000"/>
                <w:sz w:val="17"/>
              </w:rPr>
              <w:t>Prescription volumes, permitted price increases, geographic and prescriber penetration, lifecycle extensions, and new licensed or partnered launches.</w:t>
            </w:r>
          </w:p>
        </w:tc>
      </w:tr>
      <w:tr>
        <w:trPr>
          <w:cantSplit/>
        </w:trPr>
        <w:tc>
          <w:tcPr>
            <w:tcW w:type="dxa" w:w="2376"/>
            <w:tcMar>
              <w:top w:w="85" w:type="dxa"/>
              <w:start w:w="100" w:type="dxa"/>
              <w:bottom w:w="85" w:type="dxa"/>
              <w:end w:w="100" w:type="dxa"/>
            </w:tcMar>
            <w:vAlign w:val="center"/>
          </w:tcPr>
          <w:p>
            <w:pPr>
              <w:spacing w:after="0"/>
              <w:jc w:val="left"/>
            </w:pPr>
            <w:r>
              <w:rPr>
                <w:rFonts w:ascii="Arial" w:hAnsi="Arial"/>
                <w:color w:val="000000"/>
                <w:sz w:val="17"/>
              </w:rPr>
              <w:t>What drives margin</w:t>
            </w:r>
          </w:p>
        </w:tc>
        <w:tc>
          <w:tcPr>
            <w:tcW w:type="dxa" w:w="7560"/>
            <w:tcMar>
              <w:top w:w="85" w:type="dxa"/>
              <w:start w:w="100" w:type="dxa"/>
              <w:bottom w:w="85" w:type="dxa"/>
              <w:end w:w="100" w:type="dxa"/>
            </w:tcMar>
            <w:vAlign w:val="center"/>
          </w:tcPr>
          <w:p>
            <w:pPr>
              <w:spacing w:after="0"/>
              <w:jc w:val="left"/>
            </w:pPr>
            <w:r>
              <w:rPr>
                <w:rFonts w:ascii="Arial" w:hAnsi="Arial"/>
                <w:color w:val="000000"/>
                <w:sz w:val="17"/>
              </w:rPr>
              <w:t>Brand mix, sourcing terms, sales-force productivity, operating leverage and the balance between owned brands and lower-margin distribution products.</w:t>
            </w:r>
          </w:p>
        </w:tc>
      </w:tr>
      <w:tr>
        <w:trPr>
          <w:cantSplit/>
        </w:trPr>
        <w:tc>
          <w:tcPr>
            <w:tcW w:type="dxa" w:w="2376"/>
            <w:tcMar>
              <w:top w:w="85" w:type="dxa"/>
              <w:start w:w="100" w:type="dxa"/>
              <w:bottom w:w="85" w:type="dxa"/>
              <w:end w:w="100" w:type="dxa"/>
            </w:tcMar>
            <w:shd w:fill="F4F7FA"/>
            <w:vAlign w:val="center"/>
          </w:tcPr>
          <w:p>
            <w:pPr>
              <w:spacing w:after="0"/>
              <w:jc w:val="left"/>
            </w:pPr>
            <w:r>
              <w:rPr>
                <w:rFonts w:ascii="Arial" w:hAnsi="Arial"/>
                <w:color w:val="000000"/>
                <w:sz w:val="17"/>
              </w:rPr>
              <w:t>What is the moat</w:t>
            </w:r>
          </w:p>
        </w:tc>
        <w:tc>
          <w:tcPr>
            <w:tcW w:type="dxa" w:w="7560"/>
            <w:tcMar>
              <w:top w:w="85" w:type="dxa"/>
              <w:start w:w="100" w:type="dxa"/>
              <w:bottom w:w="85" w:type="dxa"/>
              <w:end w:w="100" w:type="dxa"/>
            </w:tcMar>
            <w:shd w:fill="F4F7FA"/>
            <w:vAlign w:val="center"/>
          </w:tcPr>
          <w:p>
            <w:pPr>
              <w:spacing w:after="0"/>
              <w:jc w:val="left"/>
            </w:pPr>
            <w:r>
              <w:rPr>
                <w:rFonts w:ascii="Arial" w:hAnsi="Arial"/>
                <w:color w:val="000000"/>
                <w:sz w:val="17"/>
              </w:rPr>
              <w:t>Physician trust, large-brand longevity, medical education, reach across specialties and channels, and access to Abbott or partner portfolios.</w:t>
            </w:r>
          </w:p>
        </w:tc>
      </w:tr>
      <w:tr>
        <w:trPr>
          <w:cantSplit/>
        </w:trPr>
        <w:tc>
          <w:tcPr>
            <w:tcW w:type="dxa" w:w="2376"/>
            <w:tcMar>
              <w:top w:w="85" w:type="dxa"/>
              <w:start w:w="100" w:type="dxa"/>
              <w:bottom w:w="85" w:type="dxa"/>
              <w:end w:w="100" w:type="dxa"/>
            </w:tcMar>
            <w:vAlign w:val="center"/>
          </w:tcPr>
          <w:p>
            <w:pPr>
              <w:spacing w:after="0"/>
              <w:jc w:val="left"/>
            </w:pPr>
            <w:r>
              <w:rPr>
                <w:rFonts w:ascii="Arial" w:hAnsi="Arial"/>
                <w:color w:val="000000"/>
                <w:sz w:val="17"/>
              </w:rPr>
              <w:t>What can break the thesis</w:t>
            </w:r>
          </w:p>
        </w:tc>
        <w:tc>
          <w:tcPr>
            <w:tcW w:type="dxa" w:w="7560"/>
            <w:tcMar>
              <w:top w:w="85" w:type="dxa"/>
              <w:start w:w="100" w:type="dxa"/>
              <w:bottom w:w="85" w:type="dxa"/>
              <w:end w:w="100" w:type="dxa"/>
            </w:tcMar>
            <w:vAlign w:val="center"/>
          </w:tcPr>
          <w:p>
            <w:pPr>
              <w:spacing w:after="0"/>
              <w:jc w:val="left"/>
            </w:pPr>
            <w:r>
              <w:rPr>
                <w:rFonts w:ascii="Arial" w:hAnsi="Arial"/>
                <w:color w:val="000000"/>
                <w:sz w:val="17"/>
              </w:rPr>
              <w:t>Price controls, generic erosion in mature molecules, incorrect entity attribution, partner-product margin dilution, inventory build and weak execution in new therapy areas.</w:t>
            </w:r>
          </w:p>
        </w:tc>
      </w:tr>
    </w:tbl>
    <w:p>
      <w:pPr>
        <w:spacing w:after="20"/>
      </w:pPr>
    </w:p>
    <w:p>
      <w:pPr>
        <w:pStyle w:val="Heading1"/>
      </w:pPr>
      <w:r>
        <w:rPr>
          <w:rFonts w:ascii="Arial" w:hAnsi="Arial"/>
          <w:b/>
          <w:color w:val="000000"/>
          <w:sz w:val="32"/>
        </w:rPr>
        <w:t>The legal entity comes before the product list</w:t>
      </w:r>
    </w:p>
    <w:p>
      <w:pPr>
        <w:keepLines w:val="0"/>
      </w:pPr>
      <w:r>
        <w:rPr>
          <w:rFonts w:ascii="Arial" w:hAnsi="Arial"/>
          <w:color w:val="000000"/>
          <w:sz w:val="21"/>
        </w:rPr>
        <w:t>The most common analytical error is to treat every product carrying an Abbott name, every product sold through an Abbott channel, and every item appearing in an ABT market-data bucket as revenue of Abbott India Limited. The FY26 annual report defines the listed entity as a single pharmaceutical segment. It reports one manufacturing plant, six domestic offices and one international office, and 1.2% of turnover from exports. Abbott Laboratories owns the company through three promoter entities that together hold 74.99%.</w:t>
      </w:r>
      <w:r>
        <w:rPr>
          <w:rFonts w:ascii="Arial" w:hAnsi="Arial"/>
          <w:color w:val="595959"/>
          <w:sz w:val="15"/>
          <w:vertAlign w:val="superscript"/>
        </w:rPr>
        <w:t xml:space="preserve"> [1]</w:t>
      </w:r>
    </w:p>
    <w:p>
      <w:pPr>
        <w:keepLines w:val="0"/>
      </w:pPr>
      <w:r>
        <w:rPr>
          <w:rFonts w:ascii="Arial" w:hAnsi="Arial"/>
          <w:color w:val="000000"/>
          <w:sz w:val="21"/>
        </w:rPr>
        <w:t>The broader Abbott group in India includes separate businesses and legal entities in nutrition, diagnostics, diabetes care and medical devices. Those businesses can create commercial advantages for the listed company, especially in diabetes and institutional access, but their sales do not belong in Abbott India Limited’s revenue model unless a listed-company disclosure confirms the economics. Similac, Ensure, PediaSure, FreeStyle Libre, stents and diagnostic platforms should therefore be excluded from the listed-company model by default.</w:t>
      </w:r>
      <w:r>
        <w:rPr>
          <w:rFonts w:ascii="Arial" w:hAnsi="Arial"/>
          <w:color w:val="595959"/>
          <w:sz w:val="15"/>
          <w:vertAlign w:val="superscript"/>
        </w:rPr>
        <w:t xml:space="preserve"> [1]</w:t>
      </w:r>
    </w:p>
    <w:p>
      <w:pPr>
        <w:keepLines w:val="0"/>
      </w:pPr>
      <w:r>
        <w:rPr>
          <w:rFonts w:ascii="Arial" w:hAnsi="Arial"/>
          <w:color w:val="000000"/>
          <w:sz w:val="21"/>
        </w:rPr>
        <w:t>The same rule applies to Novo Nordisk products. Vendor market data may place Rybelsus, Wegovy, Ryzodeg, Mixtard, NovoRapid, Tresiba, Actrapid and Fiasp inside an ABT distributor or manufacturer bucket. That is not sufficient evidence that the listed company retains the economics. The uploaded IPM workbook explicitly excludes these products from the clean Abbott India view. Extensior is different because Abbott India’s FY26 annual report identifies it as a company launch under an exclusive licensing agreement and the official press release states that Abbott will commercialize the Novo-manufactured product.</w:t>
      </w:r>
      <w:r>
        <w:rPr>
          <w:rFonts w:ascii="Arial" w:hAnsi="Arial"/>
          <w:color w:val="595959"/>
          <w:sz w:val="15"/>
          <w:vertAlign w:val="superscript"/>
        </w:rPr>
        <w:t xml:space="preserve"> [3]</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2448"/>
            <w:shd w:fill="17324D"/>
            <w:tcMar>
              <w:top w:w="95" w:type="dxa"/>
              <w:start w:w="100" w:type="dxa"/>
              <w:bottom w:w="95" w:type="dxa"/>
              <w:end w:w="100" w:type="dxa"/>
            </w:tcMar>
            <w:vAlign w:val="center"/>
          </w:tcPr>
          <w:p>
            <w:pPr>
              <w:spacing w:after="0"/>
              <w:jc w:val="center"/>
            </w:pPr>
            <w:r>
              <w:rPr>
                <w:rFonts w:ascii="Arial" w:hAnsi="Arial"/>
                <w:b/>
                <w:color w:val="FFFFFF"/>
                <w:sz w:val="16"/>
              </w:rPr>
              <w:t>Economic bucket</w:t>
            </w:r>
          </w:p>
        </w:tc>
        <w:tc>
          <w:tcPr>
            <w:tcW w:type="dxa" w:w="2232"/>
            <w:shd w:fill="17324D"/>
            <w:tcMar>
              <w:top w:w="95" w:type="dxa"/>
              <w:start w:w="100" w:type="dxa"/>
              <w:bottom w:w="95" w:type="dxa"/>
              <w:end w:w="100" w:type="dxa"/>
            </w:tcMar>
            <w:vAlign w:val="center"/>
          </w:tcPr>
          <w:p>
            <w:pPr>
              <w:spacing w:after="0"/>
              <w:jc w:val="center"/>
            </w:pPr>
            <w:r>
              <w:rPr>
                <w:rFonts w:ascii="Arial" w:hAnsi="Arial"/>
                <w:b/>
                <w:color w:val="FFFFFF"/>
                <w:sz w:val="16"/>
              </w:rPr>
              <w:t>Treatment in the Abbott India model</w:t>
            </w:r>
          </w:p>
        </w:tc>
        <w:tc>
          <w:tcPr>
            <w:tcW w:type="dxa" w:w="5256"/>
            <w:shd w:fill="17324D"/>
            <w:tcMar>
              <w:top w:w="95" w:type="dxa"/>
              <w:start w:w="100" w:type="dxa"/>
              <w:bottom w:w="95" w:type="dxa"/>
              <w:end w:w="100" w:type="dxa"/>
            </w:tcMar>
            <w:vAlign w:val="center"/>
          </w:tcPr>
          <w:p>
            <w:pPr>
              <w:spacing w:after="0"/>
              <w:jc w:val="center"/>
            </w:pPr>
            <w:r>
              <w:rPr>
                <w:rFonts w:ascii="Arial" w:hAnsi="Arial"/>
                <w:b/>
                <w:color w:val="FFFFFF"/>
                <w:sz w:val="16"/>
              </w:rPr>
              <w:t>Reason</w:t>
            </w:r>
          </w:p>
        </w:tc>
      </w:tr>
      <w:tr>
        <w:trPr>
          <w:cantSplit/>
        </w:trPr>
        <w:tc>
          <w:tcPr>
            <w:tcW w:type="dxa" w:w="2448"/>
            <w:tcMar>
              <w:top w:w="85" w:type="dxa"/>
              <w:start w:w="100" w:type="dxa"/>
              <w:bottom w:w="85" w:type="dxa"/>
              <w:end w:w="100" w:type="dxa"/>
            </w:tcMar>
            <w:vAlign w:val="center"/>
          </w:tcPr>
          <w:p>
            <w:pPr>
              <w:spacing w:after="0"/>
              <w:jc w:val="left"/>
            </w:pPr>
            <w:r>
              <w:rPr>
                <w:rFonts w:ascii="Arial" w:hAnsi="Arial"/>
                <w:color w:val="000000"/>
                <w:sz w:val="15"/>
              </w:rPr>
              <w:t>Listed legacy brands</w:t>
            </w:r>
          </w:p>
        </w:tc>
        <w:tc>
          <w:tcPr>
            <w:tcW w:type="dxa" w:w="2232"/>
            <w:tcMar>
              <w:top w:w="85" w:type="dxa"/>
              <w:start w:w="100" w:type="dxa"/>
              <w:bottom w:w="85" w:type="dxa"/>
              <w:end w:w="100" w:type="dxa"/>
            </w:tcMar>
            <w:vAlign w:val="center"/>
          </w:tcPr>
          <w:p>
            <w:pPr>
              <w:spacing w:after="0"/>
              <w:jc w:val="center"/>
            </w:pPr>
            <w:r>
              <w:rPr>
                <w:rFonts w:ascii="Arial" w:hAnsi="Arial"/>
                <w:color w:val="000000"/>
                <w:sz w:val="15"/>
              </w:rPr>
              <w:t>Include</w:t>
            </w:r>
          </w:p>
        </w:tc>
        <w:tc>
          <w:tcPr>
            <w:tcW w:type="dxa" w:w="5256"/>
            <w:tcMar>
              <w:top w:w="85" w:type="dxa"/>
              <w:start w:w="100" w:type="dxa"/>
              <w:bottom w:w="85" w:type="dxa"/>
              <w:end w:w="100" w:type="dxa"/>
            </w:tcMar>
            <w:vAlign w:val="center"/>
          </w:tcPr>
          <w:p>
            <w:pPr>
              <w:spacing w:after="0"/>
              <w:jc w:val="left"/>
            </w:pPr>
            <w:r>
              <w:rPr>
                <w:rFonts w:ascii="Arial" w:hAnsi="Arial"/>
                <w:color w:val="000000"/>
                <w:sz w:val="15"/>
              </w:rPr>
              <w:t>Brands disclosed by Abbott India, including Thyronorm, Udiliv, Duphaston, Digene, Cremaffin, Vertin and Arachitol.</w:t>
            </w:r>
          </w:p>
        </w:tc>
      </w:tr>
      <w:tr>
        <w:trPr>
          <w:cantSplit/>
        </w:trPr>
        <w:tc>
          <w:tcPr>
            <w:tcW w:type="dxa" w:w="2448"/>
            <w:tcMar>
              <w:top w:w="85" w:type="dxa"/>
              <w:start w:w="100" w:type="dxa"/>
              <w:bottom w:w="85" w:type="dxa"/>
              <w:end w:w="100" w:type="dxa"/>
            </w:tcMar>
            <w:shd w:fill="F4F7FA"/>
            <w:vAlign w:val="center"/>
          </w:tcPr>
          <w:p>
            <w:pPr>
              <w:spacing w:after="0"/>
              <w:jc w:val="left"/>
            </w:pPr>
            <w:r>
              <w:rPr>
                <w:rFonts w:ascii="Arial" w:hAnsi="Arial"/>
                <w:color w:val="000000"/>
                <w:sz w:val="15"/>
              </w:rPr>
              <w:t>Extensior</w:t>
            </w:r>
          </w:p>
        </w:tc>
        <w:tc>
          <w:tcPr>
            <w:tcW w:type="dxa" w:w="2232"/>
            <w:tcMar>
              <w:top w:w="85" w:type="dxa"/>
              <w:start w:w="100" w:type="dxa"/>
              <w:bottom w:w="85" w:type="dxa"/>
              <w:end w:w="100" w:type="dxa"/>
            </w:tcMar>
            <w:shd w:fill="F4F7FA"/>
            <w:vAlign w:val="center"/>
          </w:tcPr>
          <w:p>
            <w:pPr>
              <w:spacing w:after="0"/>
              <w:jc w:val="center"/>
            </w:pPr>
            <w:r>
              <w:rPr>
                <w:rFonts w:ascii="Arial" w:hAnsi="Arial"/>
                <w:color w:val="000000"/>
                <w:sz w:val="15"/>
              </w:rPr>
              <w:t>Include from launch</w:t>
            </w:r>
          </w:p>
        </w:tc>
        <w:tc>
          <w:tcPr>
            <w:tcW w:type="dxa" w:w="5256"/>
            <w:tcMar>
              <w:top w:w="85" w:type="dxa"/>
              <w:start w:w="100" w:type="dxa"/>
              <w:bottom w:w="85" w:type="dxa"/>
              <w:end w:w="100" w:type="dxa"/>
            </w:tcMar>
            <w:shd w:fill="F4F7FA"/>
            <w:vAlign w:val="center"/>
          </w:tcPr>
          <w:p>
            <w:pPr>
              <w:spacing w:after="0"/>
              <w:jc w:val="left"/>
            </w:pPr>
            <w:r>
              <w:rPr>
                <w:rFonts w:ascii="Arial" w:hAnsi="Arial"/>
                <w:color w:val="000000"/>
                <w:sz w:val="15"/>
              </w:rPr>
              <w:t>Listed-company annual report and press release confirm commercialization by Abbott under a Novo partnership.</w:t>
            </w:r>
          </w:p>
        </w:tc>
      </w:tr>
      <w:tr>
        <w:trPr>
          <w:cantSplit/>
        </w:trPr>
        <w:tc>
          <w:tcPr>
            <w:tcW w:type="dxa" w:w="2448"/>
            <w:tcMar>
              <w:top w:w="85" w:type="dxa"/>
              <w:start w:w="100" w:type="dxa"/>
              <w:bottom w:w="85" w:type="dxa"/>
              <w:end w:w="100" w:type="dxa"/>
            </w:tcMar>
            <w:vAlign w:val="center"/>
          </w:tcPr>
          <w:p>
            <w:pPr>
              <w:spacing w:after="0"/>
              <w:jc w:val="left"/>
            </w:pPr>
            <w:r>
              <w:rPr>
                <w:rFonts w:ascii="Arial" w:hAnsi="Arial"/>
                <w:color w:val="000000"/>
                <w:sz w:val="15"/>
              </w:rPr>
              <w:t>Other Novo products in ABT data</w:t>
            </w:r>
          </w:p>
        </w:tc>
        <w:tc>
          <w:tcPr>
            <w:tcW w:type="dxa" w:w="2232"/>
            <w:tcMar>
              <w:top w:w="85" w:type="dxa"/>
              <w:start w:w="100" w:type="dxa"/>
              <w:bottom w:w="85" w:type="dxa"/>
              <w:end w:w="100" w:type="dxa"/>
            </w:tcMar>
            <w:vAlign w:val="center"/>
          </w:tcPr>
          <w:p>
            <w:pPr>
              <w:spacing w:after="0"/>
              <w:jc w:val="center"/>
            </w:pPr>
            <w:r>
              <w:rPr>
                <w:rFonts w:ascii="Arial" w:hAnsi="Arial"/>
                <w:color w:val="000000"/>
                <w:sz w:val="15"/>
              </w:rPr>
              <w:t>Exclude until proven</w:t>
            </w:r>
          </w:p>
        </w:tc>
        <w:tc>
          <w:tcPr>
            <w:tcW w:type="dxa" w:w="5256"/>
            <w:tcMar>
              <w:top w:w="85" w:type="dxa"/>
              <w:start w:w="100" w:type="dxa"/>
              <w:bottom w:w="85" w:type="dxa"/>
              <w:end w:w="100" w:type="dxa"/>
            </w:tcMar>
            <w:vAlign w:val="center"/>
          </w:tcPr>
          <w:p>
            <w:pPr>
              <w:spacing w:after="0"/>
              <w:jc w:val="left"/>
            </w:pPr>
            <w:r>
              <w:rPr>
                <w:rFonts w:ascii="Arial" w:hAnsi="Arial"/>
                <w:color w:val="000000"/>
                <w:sz w:val="15"/>
              </w:rPr>
              <w:t>A distributor or manufacturer code does not establish listed-company economics.</w:t>
            </w:r>
          </w:p>
        </w:tc>
      </w:tr>
      <w:tr>
        <w:trPr>
          <w:cantSplit/>
        </w:trPr>
        <w:tc>
          <w:tcPr>
            <w:tcW w:type="dxa" w:w="2448"/>
            <w:tcMar>
              <w:top w:w="85" w:type="dxa"/>
              <w:start w:w="100" w:type="dxa"/>
              <w:bottom w:w="85" w:type="dxa"/>
              <w:end w:w="100" w:type="dxa"/>
            </w:tcMar>
            <w:shd w:fill="F4F7FA"/>
            <w:vAlign w:val="center"/>
          </w:tcPr>
          <w:p>
            <w:pPr>
              <w:spacing w:after="0"/>
              <w:jc w:val="left"/>
            </w:pPr>
            <w:r>
              <w:rPr>
                <w:rFonts w:ascii="Arial" w:hAnsi="Arial"/>
                <w:color w:val="000000"/>
                <w:sz w:val="15"/>
              </w:rPr>
              <w:t>Nutrition, devices and diagnostics</w:t>
            </w:r>
          </w:p>
        </w:tc>
        <w:tc>
          <w:tcPr>
            <w:tcW w:type="dxa" w:w="2232"/>
            <w:tcMar>
              <w:top w:w="85" w:type="dxa"/>
              <w:start w:w="100" w:type="dxa"/>
              <w:bottom w:w="85" w:type="dxa"/>
              <w:end w:w="100" w:type="dxa"/>
            </w:tcMar>
            <w:shd w:fill="F4F7FA"/>
            <w:vAlign w:val="center"/>
          </w:tcPr>
          <w:p>
            <w:pPr>
              <w:spacing w:after="0"/>
              <w:jc w:val="center"/>
            </w:pPr>
            <w:r>
              <w:rPr>
                <w:rFonts w:ascii="Arial" w:hAnsi="Arial"/>
                <w:color w:val="000000"/>
                <w:sz w:val="15"/>
              </w:rPr>
              <w:t>Exclude</w:t>
            </w:r>
          </w:p>
        </w:tc>
        <w:tc>
          <w:tcPr>
            <w:tcW w:type="dxa" w:w="5256"/>
            <w:tcMar>
              <w:top w:w="85" w:type="dxa"/>
              <w:start w:w="100" w:type="dxa"/>
              <w:bottom w:w="85" w:type="dxa"/>
              <w:end w:w="100" w:type="dxa"/>
            </w:tcMar>
            <w:shd w:fill="F4F7FA"/>
            <w:vAlign w:val="center"/>
          </w:tcPr>
          <w:p>
            <w:pPr>
              <w:spacing w:after="0"/>
              <w:jc w:val="left"/>
            </w:pPr>
            <w:r>
              <w:rPr>
                <w:rFonts w:ascii="Arial" w:hAnsi="Arial"/>
                <w:color w:val="000000"/>
                <w:sz w:val="15"/>
              </w:rPr>
              <w:t>These belong to other Abbott businesses in India unless the listed company separately discloses a transaction.</w:t>
            </w:r>
          </w:p>
        </w:tc>
      </w:tr>
      <w:tr>
        <w:trPr>
          <w:cantSplit/>
        </w:trPr>
        <w:tc>
          <w:tcPr>
            <w:tcW w:type="dxa" w:w="2448"/>
            <w:tcMar>
              <w:top w:w="85" w:type="dxa"/>
              <w:start w:w="100" w:type="dxa"/>
              <w:bottom w:w="85" w:type="dxa"/>
              <w:end w:w="100" w:type="dxa"/>
            </w:tcMar>
            <w:vAlign w:val="center"/>
          </w:tcPr>
          <w:p>
            <w:pPr>
              <w:spacing w:after="0"/>
              <w:jc w:val="left"/>
            </w:pPr>
            <w:r>
              <w:rPr>
                <w:rFonts w:ascii="Arial" w:hAnsi="Arial"/>
                <w:color w:val="000000"/>
                <w:sz w:val="15"/>
              </w:rPr>
              <w:t>Affiliate support revenue</w:t>
            </w:r>
          </w:p>
        </w:tc>
        <w:tc>
          <w:tcPr>
            <w:tcW w:type="dxa" w:w="2232"/>
            <w:tcMar>
              <w:top w:w="85" w:type="dxa"/>
              <w:start w:w="100" w:type="dxa"/>
              <w:bottom w:w="85" w:type="dxa"/>
              <w:end w:w="100" w:type="dxa"/>
            </w:tcMar>
            <w:vAlign w:val="center"/>
          </w:tcPr>
          <w:p>
            <w:pPr>
              <w:spacing w:after="0"/>
              <w:jc w:val="left"/>
            </w:pPr>
            <w:r>
              <w:rPr>
                <w:rFonts w:ascii="Arial" w:hAnsi="Arial"/>
                <w:color w:val="000000"/>
                <w:sz w:val="15"/>
              </w:rPr>
              <w:t>Include only as disclosed</w:t>
            </w:r>
          </w:p>
        </w:tc>
        <w:tc>
          <w:tcPr>
            <w:tcW w:type="dxa" w:w="5256"/>
            <w:tcMar>
              <w:top w:w="85" w:type="dxa"/>
              <w:start w:w="100" w:type="dxa"/>
              <w:bottom w:w="85" w:type="dxa"/>
              <w:end w:w="100" w:type="dxa"/>
            </w:tcMar>
            <w:vAlign w:val="center"/>
          </w:tcPr>
          <w:p>
            <w:pPr>
              <w:spacing w:after="0"/>
              <w:jc w:val="left"/>
            </w:pPr>
            <w:r>
              <w:rPr>
                <w:rFonts w:ascii="Arial" w:hAnsi="Arial"/>
                <w:color w:val="000000"/>
                <w:sz w:val="15"/>
              </w:rPr>
              <w:t>FY26 operating revenue included ₹80.8 crore of services, much of it related-party support income.</w:t>
            </w:r>
          </w:p>
        </w:tc>
      </w:tr>
    </w:tbl>
    <w:p>
      <w:pPr>
        <w:spacing w:after="20"/>
      </w:pPr>
    </w:p>
    <w:p>
      <w:pPr>
        <w:pStyle w:val="Heading1"/>
      </w:pPr>
      <w:r>
        <w:rPr>
          <w:rFonts w:ascii="Arial" w:hAnsi="Arial"/>
          <w:b/>
          <w:color w:val="000000"/>
          <w:sz w:val="32"/>
        </w:rPr>
        <w:t>How the business makes money</w:t>
      </w:r>
    </w:p>
    <w:p>
      <w:pPr>
        <w:keepLines w:val="0"/>
      </w:pPr>
      <w:r>
        <w:rPr>
          <w:rFonts w:ascii="Arial" w:hAnsi="Arial"/>
          <w:color w:val="000000"/>
          <w:sz w:val="21"/>
        </w:rPr>
        <w:t>At first principles, Abbott India converts a molecule into a durable branded cash flow by shaping four decisions: whether a patient gets diagnosed, whether the physician chooses the molecule, whether the physician chooses Abbott’s brand, and whether the patient remains on therapy. The company spends behind medical education, evidence, field-force coverage, screening programs, patient convenience and distribution. Revenue follows when those activities create prescriptions and repeat purchases across pharmacies, hospitals and institutions.</w:t>
      </w:r>
    </w:p>
    <w:p>
      <w:pPr>
        <w:keepLines w:val="0"/>
      </w:pPr>
      <w:r>
        <w:rPr>
          <w:rFonts w:ascii="Arial" w:hAnsi="Arial"/>
          <w:color w:val="000000"/>
          <w:sz w:val="21"/>
        </w:rPr>
        <w:t>This is a price-volume-mix business, but each component behaves differently. Volume comes from diagnosis, prescriber penetration, therapy duration, adherence, geography and channel reach. Price comes from annual increases on non-scheduled formulations and regulated revisions on scheduled products. Mix improves when differentiated formats, chronic therapies and higher-value launches grow faster. Mix can deteriorate when growth comes from partner-supplied or distributed products with lower retained gross profit.</w:t>
      </w:r>
    </w:p>
    <w:p>
      <w:pPr>
        <w:keepLines w:val="0"/>
      </w:pPr>
      <w:r>
        <w:rPr>
          <w:rFonts w:ascii="Arial" w:hAnsi="Arial"/>
          <w:color w:val="000000"/>
          <w:sz w:val="21"/>
        </w:rPr>
        <w:t>The model is unusually cash generative because brand creation uses operating expense rather than heavy fixed assets. Abbott India operates one plant in Goa, but purchases of stock-in-trade were ₹3,164 crore in FY26 versus ₹614 crore of materials consumed. Stock-in-trade represented roughly 86% of reported material cost before considering inventory movements. The listed entity is therefore better viewed as a commercialization and portfolio-management platform with selective manufacturing, not as a capacity-led manufacturer.</w:t>
      </w:r>
      <w:r>
        <w:rPr>
          <w:rFonts w:ascii="Arial" w:hAnsi="Arial"/>
          <w:color w:val="595959"/>
          <w:sz w:val="15"/>
          <w:vertAlign w:val="superscript"/>
        </w:rPr>
        <w:t xml:space="preserve"> [1]</w:t>
      </w:r>
    </w:p>
    <w:p>
      <w:pPr>
        <w:keepLines w:val="0"/>
      </w:pPr>
      <w:r>
        <w:rPr>
          <w:rFonts w:ascii="Arial" w:hAnsi="Arial"/>
          <w:color w:val="000000"/>
          <w:sz w:val="21"/>
        </w:rPr>
        <w:t>The parent relationship helps in three ways. Abbott India can access global products and scientific assets, it benefits from the Abbott name and medical infrastructure, and it can use group capabilities in regulatory, quality and shared services. The annual report also states that the company has access to certain affiliate marketing rights without paying a price. The counterweight is dependence on affiliates and partners for product supply and portfolio renewal. Related-party purchases, services and leases therefore need continuing scrutiny even though the company states that transactions occur at arm’s length.</w:t>
      </w:r>
      <w:r>
        <w:rPr>
          <w:rFonts w:ascii="Arial" w:hAnsi="Arial"/>
          <w:color w:val="595959"/>
          <w:sz w:val="15"/>
          <w:vertAlign w:val="superscript"/>
        </w:rPr>
        <w:t xml:space="preserve"> [1]</w:t>
      </w:r>
    </w:p>
    <w:p>
      <w:pPr>
        <w:pStyle w:val="Heading1"/>
      </w:pPr>
      <w:r>
        <w:rPr>
          <w:rFonts w:ascii="Arial" w:hAnsi="Arial"/>
          <w:b/>
          <w:color w:val="000000"/>
          <w:sz w:val="32"/>
        </w:rPr>
        <w:t>The portfolio from first principles</w:t>
      </w:r>
    </w:p>
    <w:p>
      <w:pPr>
        <w:keepLines w:val="0"/>
      </w:pPr>
      <w:r>
        <w:rPr>
          <w:rFonts w:ascii="Arial" w:hAnsi="Arial"/>
          <w:color w:val="000000"/>
          <w:sz w:val="21"/>
        </w:rPr>
        <w:t>The portfolio is organized around chronic and sub-chronic conditions where repeat prescriptions and brand familiarity can sustain long product lives. Gastrointestinal and liver care provides the broadest franchise, while Thyronorm is the clearest single-brand anchor. Women’s health and CNS add established specialist franchises. Multi-specialty products broaden physician reach, and vaccines provide seasonal and preventive-care exposure. New launches increasingly use partnerships, formulation innovation and adjacency expansion rather than internal discovery.</w:t>
      </w:r>
      <w:r>
        <w:rPr>
          <w:rFonts w:ascii="Arial" w:hAnsi="Arial"/>
          <w:color w:val="595959"/>
          <w:sz w:val="15"/>
          <w:vertAlign w:val="superscript"/>
        </w:rPr>
        <w:t xml:space="preserve"> [1]</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99"/>
        <w:gridCol w:w="1999"/>
        <w:gridCol w:w="1999"/>
        <w:gridCol w:w="1999"/>
        <w:gridCol w:w="1999"/>
      </w:tblGrid>
      <w:tr>
        <w:trPr>
          <w:tblHeader w:val="true"/>
          <w:cantSplit/>
        </w:trPr>
        <w:tc>
          <w:tcPr>
            <w:tcW w:type="dxa" w:w="1267"/>
            <w:shd w:fill="17324D"/>
            <w:tcMar>
              <w:top w:w="95" w:type="dxa"/>
              <w:start w:w="100" w:type="dxa"/>
              <w:bottom w:w="95" w:type="dxa"/>
              <w:end w:w="100" w:type="dxa"/>
            </w:tcMar>
            <w:vAlign w:val="center"/>
          </w:tcPr>
          <w:p>
            <w:pPr>
              <w:spacing w:after="0"/>
              <w:jc w:val="center"/>
            </w:pPr>
            <w:r>
              <w:rPr>
                <w:rFonts w:ascii="Arial" w:hAnsi="Arial"/>
                <w:b/>
                <w:color w:val="FFFFFF"/>
                <w:sz w:val="16"/>
              </w:rPr>
              <w:t>Brand</w:t>
            </w:r>
          </w:p>
        </w:tc>
        <w:tc>
          <w:tcPr>
            <w:tcW w:type="dxa" w:w="1814"/>
            <w:shd w:fill="17324D"/>
            <w:tcMar>
              <w:top w:w="95" w:type="dxa"/>
              <w:start w:w="100" w:type="dxa"/>
              <w:bottom w:w="95" w:type="dxa"/>
              <w:end w:w="100" w:type="dxa"/>
            </w:tcMar>
            <w:vAlign w:val="center"/>
          </w:tcPr>
          <w:p>
            <w:pPr>
              <w:spacing w:after="0"/>
              <w:jc w:val="center"/>
            </w:pPr>
            <w:r>
              <w:rPr>
                <w:rFonts w:ascii="Arial" w:hAnsi="Arial"/>
                <w:b/>
                <w:color w:val="FFFFFF"/>
                <w:sz w:val="16"/>
              </w:rPr>
              <w:t>Molecule or format</w:t>
            </w:r>
          </w:p>
        </w:tc>
        <w:tc>
          <w:tcPr>
            <w:tcW w:type="dxa" w:w="1901"/>
            <w:shd w:fill="17324D"/>
            <w:tcMar>
              <w:top w:w="95" w:type="dxa"/>
              <w:start w:w="100" w:type="dxa"/>
              <w:bottom w:w="95" w:type="dxa"/>
              <w:end w:w="100" w:type="dxa"/>
            </w:tcMar>
            <w:vAlign w:val="center"/>
          </w:tcPr>
          <w:p>
            <w:pPr>
              <w:spacing w:after="0"/>
              <w:jc w:val="center"/>
            </w:pPr>
            <w:r>
              <w:rPr>
                <w:rFonts w:ascii="Arial" w:hAnsi="Arial"/>
                <w:b/>
                <w:color w:val="FFFFFF"/>
                <w:sz w:val="16"/>
              </w:rPr>
              <w:t>Primary use</w:t>
            </w:r>
          </w:p>
        </w:tc>
        <w:tc>
          <w:tcPr>
            <w:tcW w:type="dxa" w:w="1699"/>
            <w:shd w:fill="17324D"/>
            <w:tcMar>
              <w:top w:w="95" w:type="dxa"/>
              <w:start w:w="100" w:type="dxa"/>
              <w:bottom w:w="95" w:type="dxa"/>
              <w:end w:w="100" w:type="dxa"/>
            </w:tcMar>
            <w:vAlign w:val="center"/>
          </w:tcPr>
          <w:p>
            <w:pPr>
              <w:spacing w:after="0"/>
              <w:jc w:val="center"/>
            </w:pPr>
            <w:r>
              <w:rPr>
                <w:rFonts w:ascii="Arial" w:hAnsi="Arial"/>
                <w:b/>
                <w:color w:val="FFFFFF"/>
                <w:sz w:val="16"/>
              </w:rPr>
              <w:t>Therapy role</w:t>
            </w:r>
          </w:p>
        </w:tc>
        <w:tc>
          <w:tcPr>
            <w:tcW w:type="dxa" w:w="3110"/>
            <w:shd w:fill="17324D"/>
            <w:tcMar>
              <w:top w:w="95" w:type="dxa"/>
              <w:start w:w="100" w:type="dxa"/>
              <w:bottom w:w="95" w:type="dxa"/>
              <w:end w:w="100" w:type="dxa"/>
            </w:tcMar>
            <w:vAlign w:val="center"/>
          </w:tcPr>
          <w:p>
            <w:pPr>
              <w:spacing w:after="0"/>
              <w:jc w:val="center"/>
            </w:pPr>
            <w:r>
              <w:rPr>
                <w:rFonts w:ascii="Arial" w:hAnsi="Arial"/>
                <w:b/>
                <w:color w:val="FFFFFF"/>
                <w:sz w:val="16"/>
              </w:rPr>
              <w:t>Commercial read</w:t>
            </w:r>
          </w:p>
        </w:tc>
      </w:tr>
      <w:tr>
        <w:trPr>
          <w:cantSplit/>
        </w:trPr>
        <w:tc>
          <w:tcPr>
            <w:tcW w:type="dxa" w:w="1267"/>
            <w:tcMar>
              <w:top w:w="85" w:type="dxa"/>
              <w:start w:w="100" w:type="dxa"/>
              <w:bottom w:w="85" w:type="dxa"/>
              <w:end w:w="100" w:type="dxa"/>
            </w:tcMar>
            <w:vAlign w:val="center"/>
          </w:tcPr>
          <w:p>
            <w:pPr>
              <w:spacing w:after="0"/>
              <w:jc w:val="left"/>
            </w:pPr>
            <w:r>
              <w:rPr>
                <w:rFonts w:ascii="Arial" w:hAnsi="Arial"/>
                <w:color w:val="000000"/>
                <w:sz w:val="15"/>
              </w:rPr>
              <w:t>Udiliv</w:t>
            </w:r>
          </w:p>
        </w:tc>
        <w:tc>
          <w:tcPr>
            <w:tcW w:type="dxa" w:w="1814"/>
            <w:tcMar>
              <w:top w:w="85" w:type="dxa"/>
              <w:start w:w="100" w:type="dxa"/>
              <w:bottom w:w="85" w:type="dxa"/>
              <w:end w:w="100" w:type="dxa"/>
            </w:tcMar>
            <w:vAlign w:val="center"/>
          </w:tcPr>
          <w:p>
            <w:pPr>
              <w:spacing w:after="0"/>
              <w:jc w:val="center"/>
            </w:pPr>
            <w:r>
              <w:rPr>
                <w:rFonts w:ascii="Arial" w:hAnsi="Arial"/>
                <w:color w:val="000000"/>
                <w:sz w:val="15"/>
              </w:rPr>
              <w:t>Ursodeoxycholic acid</w:t>
            </w:r>
          </w:p>
        </w:tc>
        <w:tc>
          <w:tcPr>
            <w:tcW w:type="dxa" w:w="1901"/>
            <w:tcMar>
              <w:top w:w="85" w:type="dxa"/>
              <w:start w:w="100" w:type="dxa"/>
              <w:bottom w:w="85" w:type="dxa"/>
              <w:end w:w="100" w:type="dxa"/>
            </w:tcMar>
            <w:vAlign w:val="center"/>
          </w:tcPr>
          <w:p>
            <w:pPr>
              <w:spacing w:after="0"/>
              <w:jc w:val="left"/>
            </w:pPr>
            <w:r>
              <w:rPr>
                <w:rFonts w:ascii="Arial" w:hAnsi="Arial"/>
                <w:color w:val="000000"/>
                <w:sz w:val="15"/>
              </w:rPr>
              <w:t>Cholestatic liver disease and related liver care</w:t>
            </w:r>
          </w:p>
        </w:tc>
        <w:tc>
          <w:tcPr>
            <w:tcW w:type="dxa" w:w="1699"/>
            <w:tcMar>
              <w:top w:w="85" w:type="dxa"/>
              <w:start w:w="100" w:type="dxa"/>
              <w:bottom w:w="85" w:type="dxa"/>
              <w:end w:w="100" w:type="dxa"/>
            </w:tcMar>
            <w:vAlign w:val="center"/>
          </w:tcPr>
          <w:p>
            <w:pPr>
              <w:spacing w:after="0"/>
              <w:jc w:val="left"/>
            </w:pPr>
            <w:r>
              <w:rPr>
                <w:rFonts w:ascii="Arial" w:hAnsi="Arial"/>
                <w:color w:val="000000"/>
                <w:sz w:val="15"/>
              </w:rPr>
              <w:t>GI and hepatology anchor</w:t>
            </w:r>
          </w:p>
        </w:tc>
        <w:tc>
          <w:tcPr>
            <w:tcW w:type="dxa" w:w="3110"/>
            <w:tcMar>
              <w:top w:w="85" w:type="dxa"/>
              <w:start w:w="100" w:type="dxa"/>
              <w:bottom w:w="85" w:type="dxa"/>
              <w:end w:w="100" w:type="dxa"/>
            </w:tcMar>
            <w:vAlign w:val="center"/>
          </w:tcPr>
          <w:p>
            <w:pPr>
              <w:spacing w:after="0"/>
              <w:jc w:val="left"/>
            </w:pPr>
            <w:r>
              <w:rPr>
                <w:rFonts w:ascii="Arial" w:hAnsi="Arial"/>
                <w:color w:val="000000"/>
                <w:sz w:val="15"/>
              </w:rPr>
              <w:t>Company disclosed more than ₹700 crore sales and number one hepatoprotective position in FY26.</w:t>
            </w:r>
          </w:p>
        </w:tc>
      </w:tr>
      <w:tr>
        <w:trPr>
          <w:cantSplit/>
        </w:trPr>
        <w:tc>
          <w:tcPr>
            <w:tcW w:type="dxa" w:w="1267"/>
            <w:tcMar>
              <w:top w:w="85" w:type="dxa"/>
              <w:start w:w="100" w:type="dxa"/>
              <w:bottom w:w="85" w:type="dxa"/>
              <w:end w:w="100" w:type="dxa"/>
            </w:tcMar>
            <w:shd w:fill="F4F7FA"/>
            <w:vAlign w:val="center"/>
          </w:tcPr>
          <w:p>
            <w:pPr>
              <w:spacing w:after="0"/>
              <w:jc w:val="left"/>
            </w:pPr>
            <w:r>
              <w:rPr>
                <w:rFonts w:ascii="Arial" w:hAnsi="Arial"/>
                <w:color w:val="000000"/>
                <w:sz w:val="15"/>
              </w:rPr>
              <w:t>Thyronorm</w:t>
            </w:r>
          </w:p>
        </w:tc>
        <w:tc>
          <w:tcPr>
            <w:tcW w:type="dxa" w:w="1814"/>
            <w:tcMar>
              <w:top w:w="85" w:type="dxa"/>
              <w:start w:w="100" w:type="dxa"/>
              <w:bottom w:w="85" w:type="dxa"/>
              <w:end w:w="100" w:type="dxa"/>
            </w:tcMar>
            <w:shd w:fill="F4F7FA"/>
            <w:vAlign w:val="center"/>
          </w:tcPr>
          <w:p>
            <w:pPr>
              <w:spacing w:after="0"/>
              <w:jc w:val="center"/>
            </w:pPr>
            <w:r>
              <w:rPr>
                <w:rFonts w:ascii="Arial" w:hAnsi="Arial"/>
                <w:color w:val="000000"/>
                <w:sz w:val="15"/>
              </w:rPr>
              <w:t>Levothyroxine</w:t>
            </w:r>
          </w:p>
        </w:tc>
        <w:tc>
          <w:tcPr>
            <w:tcW w:type="dxa" w:w="1901"/>
            <w:tcMar>
              <w:top w:w="85" w:type="dxa"/>
              <w:start w:w="100" w:type="dxa"/>
              <w:bottom w:w="85" w:type="dxa"/>
              <w:end w:w="100" w:type="dxa"/>
            </w:tcMar>
            <w:shd w:fill="F4F7FA"/>
            <w:vAlign w:val="center"/>
          </w:tcPr>
          <w:p>
            <w:pPr>
              <w:spacing w:after="0"/>
              <w:jc w:val="center"/>
            </w:pPr>
            <w:r>
              <w:rPr>
                <w:rFonts w:ascii="Arial" w:hAnsi="Arial"/>
                <w:color w:val="000000"/>
                <w:sz w:val="15"/>
              </w:rPr>
              <w:t>Hypothyroidism</w:t>
            </w:r>
          </w:p>
        </w:tc>
        <w:tc>
          <w:tcPr>
            <w:tcW w:type="dxa" w:w="1699"/>
            <w:tcMar>
              <w:top w:w="85" w:type="dxa"/>
              <w:start w:w="100" w:type="dxa"/>
              <w:bottom w:w="85" w:type="dxa"/>
              <w:end w:w="100" w:type="dxa"/>
            </w:tcMar>
            <w:shd w:fill="F4F7FA"/>
            <w:vAlign w:val="center"/>
          </w:tcPr>
          <w:p>
            <w:pPr>
              <w:spacing w:after="0"/>
              <w:jc w:val="center"/>
            </w:pPr>
            <w:r>
              <w:rPr>
                <w:rFonts w:ascii="Arial" w:hAnsi="Arial"/>
                <w:color w:val="000000"/>
                <w:sz w:val="15"/>
              </w:rPr>
              <w:t>Metabolics anchor</w:t>
            </w:r>
          </w:p>
        </w:tc>
        <w:tc>
          <w:tcPr>
            <w:tcW w:type="dxa" w:w="3110"/>
            <w:tcMar>
              <w:top w:w="85" w:type="dxa"/>
              <w:start w:w="100" w:type="dxa"/>
              <w:bottom w:w="85" w:type="dxa"/>
              <w:end w:w="100" w:type="dxa"/>
            </w:tcMar>
            <w:shd w:fill="F4F7FA"/>
            <w:vAlign w:val="center"/>
          </w:tcPr>
          <w:p>
            <w:pPr>
              <w:spacing w:after="0"/>
              <w:jc w:val="left"/>
            </w:pPr>
            <w:r>
              <w:rPr>
                <w:rFonts w:ascii="Arial" w:hAnsi="Arial"/>
                <w:color w:val="000000"/>
                <w:sz w:val="15"/>
              </w:rPr>
              <w:t>Daily chronic therapy with diagnosis, titration and adherence as the core volume drivers.</w:t>
            </w:r>
          </w:p>
        </w:tc>
      </w:tr>
      <w:tr>
        <w:trPr>
          <w:cantSplit/>
        </w:trPr>
        <w:tc>
          <w:tcPr>
            <w:tcW w:type="dxa" w:w="1267"/>
            <w:tcMar>
              <w:top w:w="85" w:type="dxa"/>
              <w:start w:w="100" w:type="dxa"/>
              <w:bottom w:w="85" w:type="dxa"/>
              <w:end w:w="100" w:type="dxa"/>
            </w:tcMar>
            <w:vAlign w:val="center"/>
          </w:tcPr>
          <w:p>
            <w:pPr>
              <w:spacing w:after="0"/>
              <w:jc w:val="left"/>
            </w:pPr>
            <w:r>
              <w:rPr>
                <w:rFonts w:ascii="Arial" w:hAnsi="Arial"/>
                <w:color w:val="000000"/>
                <w:sz w:val="15"/>
              </w:rPr>
              <w:t>Duphaston</w:t>
            </w:r>
          </w:p>
        </w:tc>
        <w:tc>
          <w:tcPr>
            <w:tcW w:type="dxa" w:w="1814"/>
            <w:tcMar>
              <w:top w:w="85" w:type="dxa"/>
              <w:start w:w="100" w:type="dxa"/>
              <w:bottom w:w="85" w:type="dxa"/>
              <w:end w:w="100" w:type="dxa"/>
            </w:tcMar>
            <w:vAlign w:val="center"/>
          </w:tcPr>
          <w:p>
            <w:pPr>
              <w:spacing w:after="0"/>
              <w:jc w:val="center"/>
            </w:pPr>
            <w:r>
              <w:rPr>
                <w:rFonts w:ascii="Arial" w:hAnsi="Arial"/>
                <w:color w:val="000000"/>
                <w:sz w:val="15"/>
              </w:rPr>
              <w:t>Dydrogesterone</w:t>
            </w:r>
          </w:p>
        </w:tc>
        <w:tc>
          <w:tcPr>
            <w:tcW w:type="dxa" w:w="1901"/>
            <w:tcMar>
              <w:top w:w="85" w:type="dxa"/>
              <w:start w:w="100" w:type="dxa"/>
              <w:bottom w:w="85" w:type="dxa"/>
              <w:end w:w="100" w:type="dxa"/>
            </w:tcMar>
            <w:vAlign w:val="center"/>
          </w:tcPr>
          <w:p>
            <w:pPr>
              <w:spacing w:after="0"/>
              <w:jc w:val="left"/>
            </w:pPr>
            <w:r>
              <w:rPr>
                <w:rFonts w:ascii="Arial" w:hAnsi="Arial"/>
                <w:color w:val="000000"/>
                <w:sz w:val="15"/>
              </w:rPr>
              <w:t>Progesterone-deficiency conditions</w:t>
            </w:r>
          </w:p>
        </w:tc>
        <w:tc>
          <w:tcPr>
            <w:tcW w:type="dxa" w:w="1699"/>
            <w:tcMar>
              <w:top w:w="85" w:type="dxa"/>
              <w:start w:w="100" w:type="dxa"/>
              <w:bottom w:w="85" w:type="dxa"/>
              <w:end w:w="100" w:type="dxa"/>
            </w:tcMar>
            <w:vAlign w:val="center"/>
          </w:tcPr>
          <w:p>
            <w:pPr>
              <w:spacing w:after="0"/>
              <w:jc w:val="left"/>
            </w:pPr>
            <w:r>
              <w:rPr>
                <w:rFonts w:ascii="Arial" w:hAnsi="Arial"/>
                <w:color w:val="000000"/>
                <w:sz w:val="15"/>
              </w:rPr>
              <w:t>Women’s health anchor</w:t>
            </w:r>
          </w:p>
        </w:tc>
        <w:tc>
          <w:tcPr>
            <w:tcW w:type="dxa" w:w="3110"/>
            <w:tcMar>
              <w:top w:w="85" w:type="dxa"/>
              <w:start w:w="100" w:type="dxa"/>
              <w:bottom w:w="85" w:type="dxa"/>
              <w:end w:w="100" w:type="dxa"/>
            </w:tcMar>
            <w:vAlign w:val="center"/>
          </w:tcPr>
          <w:p>
            <w:pPr>
              <w:spacing w:after="0"/>
              <w:jc w:val="left"/>
            </w:pPr>
            <w:r>
              <w:rPr>
                <w:rFonts w:ascii="Arial" w:hAnsi="Arial"/>
                <w:color w:val="000000"/>
                <w:sz w:val="15"/>
              </w:rPr>
              <w:t>Category leadership faces slower market growth, generic entry and pricing pressure.</w:t>
            </w:r>
          </w:p>
        </w:tc>
      </w:tr>
      <w:tr>
        <w:trPr>
          <w:cantSplit/>
        </w:trPr>
        <w:tc>
          <w:tcPr>
            <w:tcW w:type="dxa" w:w="1267"/>
            <w:tcMar>
              <w:top w:w="85" w:type="dxa"/>
              <w:start w:w="100" w:type="dxa"/>
              <w:bottom w:w="85" w:type="dxa"/>
              <w:end w:w="100" w:type="dxa"/>
            </w:tcMar>
            <w:shd w:fill="F4F7FA"/>
            <w:vAlign w:val="center"/>
          </w:tcPr>
          <w:p>
            <w:pPr>
              <w:spacing w:after="0"/>
              <w:jc w:val="left"/>
            </w:pPr>
            <w:r>
              <w:rPr>
                <w:rFonts w:ascii="Arial" w:hAnsi="Arial"/>
                <w:color w:val="000000"/>
                <w:sz w:val="15"/>
              </w:rPr>
              <w:t>Duphalac</w:t>
            </w:r>
          </w:p>
        </w:tc>
        <w:tc>
          <w:tcPr>
            <w:tcW w:type="dxa" w:w="1814"/>
            <w:tcMar>
              <w:top w:w="85" w:type="dxa"/>
              <w:start w:w="100" w:type="dxa"/>
              <w:bottom w:w="85" w:type="dxa"/>
              <w:end w:w="100" w:type="dxa"/>
            </w:tcMar>
            <w:shd w:fill="F4F7FA"/>
            <w:vAlign w:val="center"/>
          </w:tcPr>
          <w:p>
            <w:pPr>
              <w:spacing w:after="0"/>
              <w:jc w:val="center"/>
            </w:pPr>
            <w:r>
              <w:rPr>
                <w:rFonts w:ascii="Arial" w:hAnsi="Arial"/>
                <w:color w:val="000000"/>
                <w:sz w:val="15"/>
              </w:rPr>
              <w:t>Lactulose</w:t>
            </w:r>
          </w:p>
        </w:tc>
        <w:tc>
          <w:tcPr>
            <w:tcW w:type="dxa" w:w="1901"/>
            <w:tcMar>
              <w:top w:w="85" w:type="dxa"/>
              <w:start w:w="100" w:type="dxa"/>
              <w:bottom w:w="85" w:type="dxa"/>
              <w:end w:w="100" w:type="dxa"/>
            </w:tcMar>
            <w:shd w:fill="F4F7FA"/>
            <w:vAlign w:val="center"/>
          </w:tcPr>
          <w:p>
            <w:pPr>
              <w:spacing w:after="0"/>
              <w:jc w:val="left"/>
            </w:pPr>
            <w:r>
              <w:rPr>
                <w:rFonts w:ascii="Arial" w:hAnsi="Arial"/>
                <w:color w:val="000000"/>
                <w:sz w:val="15"/>
              </w:rPr>
              <w:t>Constipation and hepatic encephalopathy</w:t>
            </w:r>
          </w:p>
        </w:tc>
        <w:tc>
          <w:tcPr>
            <w:tcW w:type="dxa" w:w="1699"/>
            <w:tcMar>
              <w:top w:w="85" w:type="dxa"/>
              <w:start w:w="100" w:type="dxa"/>
              <w:bottom w:w="85" w:type="dxa"/>
              <w:end w:w="100" w:type="dxa"/>
            </w:tcMar>
            <w:shd w:fill="F4F7FA"/>
            <w:vAlign w:val="center"/>
          </w:tcPr>
          <w:p>
            <w:pPr>
              <w:spacing w:after="0"/>
              <w:jc w:val="center"/>
            </w:pPr>
            <w:r>
              <w:rPr>
                <w:rFonts w:ascii="Arial" w:hAnsi="Arial"/>
                <w:color w:val="000000"/>
                <w:sz w:val="15"/>
              </w:rPr>
              <w:t>GI core brand</w:t>
            </w:r>
          </w:p>
        </w:tc>
        <w:tc>
          <w:tcPr>
            <w:tcW w:type="dxa" w:w="3110"/>
            <w:tcMar>
              <w:top w:w="85" w:type="dxa"/>
              <w:start w:w="100" w:type="dxa"/>
              <w:bottom w:w="85" w:type="dxa"/>
              <w:end w:w="100" w:type="dxa"/>
            </w:tcMar>
            <w:shd w:fill="F4F7FA"/>
            <w:vAlign w:val="center"/>
          </w:tcPr>
          <w:p>
            <w:pPr>
              <w:spacing w:after="0"/>
              <w:jc w:val="left"/>
            </w:pPr>
            <w:r>
              <w:rPr>
                <w:rFonts w:ascii="Arial" w:hAnsi="Arial"/>
                <w:color w:val="000000"/>
                <w:sz w:val="15"/>
              </w:rPr>
              <w:t>Broad prescriber base with lifecycle extension through Duphalac Rapid.</w:t>
            </w:r>
          </w:p>
        </w:tc>
      </w:tr>
      <w:tr>
        <w:trPr>
          <w:cantSplit/>
        </w:trPr>
        <w:tc>
          <w:tcPr>
            <w:tcW w:type="dxa" w:w="1267"/>
            <w:tcMar>
              <w:top w:w="85" w:type="dxa"/>
              <w:start w:w="100" w:type="dxa"/>
              <w:bottom w:w="85" w:type="dxa"/>
              <w:end w:w="100" w:type="dxa"/>
            </w:tcMar>
            <w:vAlign w:val="center"/>
          </w:tcPr>
          <w:p>
            <w:pPr>
              <w:spacing w:after="0"/>
              <w:jc w:val="left"/>
            </w:pPr>
            <w:r>
              <w:rPr>
                <w:rFonts w:ascii="Arial" w:hAnsi="Arial"/>
                <w:color w:val="000000"/>
                <w:sz w:val="15"/>
              </w:rPr>
              <w:t>Cremaffin and Plus</w:t>
            </w:r>
          </w:p>
        </w:tc>
        <w:tc>
          <w:tcPr>
            <w:tcW w:type="dxa" w:w="1814"/>
            <w:tcMar>
              <w:top w:w="85" w:type="dxa"/>
              <w:start w:w="100" w:type="dxa"/>
              <w:bottom w:w="85" w:type="dxa"/>
              <w:end w:w="100" w:type="dxa"/>
            </w:tcMar>
            <w:vAlign w:val="center"/>
          </w:tcPr>
          <w:p>
            <w:pPr>
              <w:spacing w:after="0"/>
              <w:jc w:val="left"/>
            </w:pPr>
            <w:r>
              <w:rPr>
                <w:rFonts w:ascii="Arial" w:hAnsi="Arial"/>
                <w:color w:val="000000"/>
                <w:sz w:val="15"/>
              </w:rPr>
              <w:t>Laxative combinations</w:t>
            </w:r>
          </w:p>
        </w:tc>
        <w:tc>
          <w:tcPr>
            <w:tcW w:type="dxa" w:w="1901"/>
            <w:tcMar>
              <w:top w:w="85" w:type="dxa"/>
              <w:start w:w="100" w:type="dxa"/>
              <w:bottom w:w="85" w:type="dxa"/>
              <w:end w:w="100" w:type="dxa"/>
            </w:tcMar>
            <w:vAlign w:val="center"/>
          </w:tcPr>
          <w:p>
            <w:pPr>
              <w:spacing w:after="0"/>
              <w:jc w:val="center"/>
            </w:pPr>
            <w:r>
              <w:rPr>
                <w:rFonts w:ascii="Arial" w:hAnsi="Arial"/>
                <w:color w:val="000000"/>
                <w:sz w:val="15"/>
              </w:rPr>
              <w:t>Constipation</w:t>
            </w:r>
          </w:p>
        </w:tc>
        <w:tc>
          <w:tcPr>
            <w:tcW w:type="dxa" w:w="1699"/>
            <w:tcMar>
              <w:top w:w="85" w:type="dxa"/>
              <w:start w:w="100" w:type="dxa"/>
              <w:bottom w:w="85" w:type="dxa"/>
              <w:end w:w="100" w:type="dxa"/>
            </w:tcMar>
            <w:vAlign w:val="center"/>
          </w:tcPr>
          <w:p>
            <w:pPr>
              <w:spacing w:after="0"/>
              <w:jc w:val="center"/>
            </w:pPr>
            <w:r>
              <w:rPr>
                <w:rFonts w:ascii="Arial" w:hAnsi="Arial"/>
                <w:color w:val="000000"/>
                <w:sz w:val="15"/>
              </w:rPr>
              <w:t>GI core brand</w:t>
            </w:r>
          </w:p>
        </w:tc>
        <w:tc>
          <w:tcPr>
            <w:tcW w:type="dxa" w:w="3110"/>
            <w:tcMar>
              <w:top w:w="85" w:type="dxa"/>
              <w:start w:w="100" w:type="dxa"/>
              <w:bottom w:w="85" w:type="dxa"/>
              <w:end w:w="100" w:type="dxa"/>
            </w:tcMar>
            <w:vAlign w:val="center"/>
          </w:tcPr>
          <w:p>
            <w:pPr>
              <w:spacing w:after="0"/>
              <w:jc w:val="left"/>
            </w:pPr>
            <w:r>
              <w:rPr>
                <w:rFonts w:ascii="Arial" w:hAnsi="Arial"/>
                <w:color w:val="000000"/>
                <w:sz w:val="15"/>
              </w:rPr>
              <w:t>High brand recall; Cremaffin Plus was one of the fastest-growing confirmed brands in the Aug 2026 market snapshot.</w:t>
            </w:r>
          </w:p>
        </w:tc>
      </w:tr>
      <w:tr>
        <w:trPr>
          <w:cantSplit/>
        </w:trPr>
        <w:tc>
          <w:tcPr>
            <w:tcW w:type="dxa" w:w="1267"/>
            <w:tcMar>
              <w:top w:w="85" w:type="dxa"/>
              <w:start w:w="100" w:type="dxa"/>
              <w:bottom w:w="85" w:type="dxa"/>
              <w:end w:w="100" w:type="dxa"/>
            </w:tcMar>
            <w:shd w:fill="F4F7FA"/>
            <w:vAlign w:val="center"/>
          </w:tcPr>
          <w:p>
            <w:pPr>
              <w:spacing w:after="0"/>
              <w:jc w:val="left"/>
            </w:pPr>
            <w:r>
              <w:rPr>
                <w:rFonts w:ascii="Arial" w:hAnsi="Arial"/>
                <w:color w:val="000000"/>
                <w:sz w:val="15"/>
              </w:rPr>
              <w:t>Digene</w:t>
            </w:r>
          </w:p>
        </w:tc>
        <w:tc>
          <w:tcPr>
            <w:tcW w:type="dxa" w:w="1814"/>
            <w:tcMar>
              <w:top w:w="85" w:type="dxa"/>
              <w:start w:w="100" w:type="dxa"/>
              <w:bottom w:w="85" w:type="dxa"/>
              <w:end w:w="100" w:type="dxa"/>
            </w:tcMar>
            <w:shd w:fill="F4F7FA"/>
            <w:vAlign w:val="center"/>
          </w:tcPr>
          <w:p>
            <w:pPr>
              <w:spacing w:after="0"/>
              <w:jc w:val="left"/>
            </w:pPr>
            <w:r>
              <w:rPr>
                <w:rFonts w:ascii="Arial" w:hAnsi="Arial"/>
                <w:color w:val="000000"/>
                <w:sz w:val="15"/>
              </w:rPr>
              <w:t>Antacid combinations and formats</w:t>
            </w:r>
          </w:p>
        </w:tc>
        <w:tc>
          <w:tcPr>
            <w:tcW w:type="dxa" w:w="1901"/>
            <w:tcMar>
              <w:top w:w="85" w:type="dxa"/>
              <w:start w:w="100" w:type="dxa"/>
              <w:bottom w:w="85" w:type="dxa"/>
              <w:end w:w="100" w:type="dxa"/>
            </w:tcMar>
            <w:shd w:fill="F4F7FA"/>
            <w:vAlign w:val="center"/>
          </w:tcPr>
          <w:p>
            <w:pPr>
              <w:spacing w:after="0"/>
              <w:jc w:val="left"/>
            </w:pPr>
            <w:r>
              <w:rPr>
                <w:rFonts w:ascii="Arial" w:hAnsi="Arial"/>
                <w:color w:val="000000"/>
                <w:sz w:val="15"/>
              </w:rPr>
              <w:t>Acidity and gas relief</w:t>
            </w:r>
          </w:p>
        </w:tc>
        <w:tc>
          <w:tcPr>
            <w:tcW w:type="dxa" w:w="1699"/>
            <w:tcMar>
              <w:top w:w="85" w:type="dxa"/>
              <w:start w:w="100" w:type="dxa"/>
              <w:bottom w:w="85" w:type="dxa"/>
              <w:end w:w="100" w:type="dxa"/>
            </w:tcMar>
            <w:shd w:fill="F4F7FA"/>
            <w:vAlign w:val="center"/>
          </w:tcPr>
          <w:p>
            <w:pPr>
              <w:spacing w:after="0"/>
              <w:jc w:val="left"/>
            </w:pPr>
            <w:r>
              <w:rPr>
                <w:rFonts w:ascii="Arial" w:hAnsi="Arial"/>
                <w:color w:val="000000"/>
                <w:sz w:val="15"/>
              </w:rPr>
              <w:t>GI consumer-facing brand</w:t>
            </w:r>
          </w:p>
        </w:tc>
        <w:tc>
          <w:tcPr>
            <w:tcW w:type="dxa" w:w="3110"/>
            <w:tcMar>
              <w:top w:w="85" w:type="dxa"/>
              <w:start w:w="100" w:type="dxa"/>
              <w:bottom w:w="85" w:type="dxa"/>
              <w:end w:w="100" w:type="dxa"/>
            </w:tcMar>
            <w:shd w:fill="F4F7FA"/>
            <w:vAlign w:val="center"/>
          </w:tcPr>
          <w:p>
            <w:pPr>
              <w:spacing w:after="0"/>
              <w:jc w:val="left"/>
            </w:pPr>
            <w:r>
              <w:rPr>
                <w:rFonts w:ascii="Arial" w:hAnsi="Arial"/>
                <w:color w:val="000000"/>
                <w:sz w:val="15"/>
              </w:rPr>
              <w:t>Brand equity supports format extensions such as Insta On The Go and omnichannel demand generation.</w:t>
            </w:r>
          </w:p>
        </w:tc>
      </w:tr>
      <w:tr>
        <w:trPr>
          <w:cantSplit/>
        </w:trPr>
        <w:tc>
          <w:tcPr>
            <w:tcW w:type="dxa" w:w="1267"/>
            <w:tcMar>
              <w:top w:w="85" w:type="dxa"/>
              <w:start w:w="100" w:type="dxa"/>
              <w:bottom w:w="85" w:type="dxa"/>
              <w:end w:w="100" w:type="dxa"/>
            </w:tcMar>
            <w:vAlign w:val="center"/>
          </w:tcPr>
          <w:p>
            <w:pPr>
              <w:spacing w:after="0"/>
              <w:jc w:val="left"/>
            </w:pPr>
            <w:r>
              <w:rPr>
                <w:rFonts w:ascii="Arial" w:hAnsi="Arial"/>
                <w:color w:val="000000"/>
                <w:sz w:val="15"/>
              </w:rPr>
              <w:t>Creon</w:t>
            </w:r>
          </w:p>
        </w:tc>
        <w:tc>
          <w:tcPr>
            <w:tcW w:type="dxa" w:w="1814"/>
            <w:tcMar>
              <w:top w:w="85" w:type="dxa"/>
              <w:start w:w="100" w:type="dxa"/>
              <w:bottom w:w="85" w:type="dxa"/>
              <w:end w:w="100" w:type="dxa"/>
            </w:tcMar>
            <w:vAlign w:val="center"/>
          </w:tcPr>
          <w:p>
            <w:pPr>
              <w:spacing w:after="0"/>
              <w:jc w:val="center"/>
            </w:pPr>
            <w:r>
              <w:rPr>
                <w:rFonts w:ascii="Arial" w:hAnsi="Arial"/>
                <w:color w:val="000000"/>
                <w:sz w:val="15"/>
              </w:rPr>
              <w:t>Pancrelipase</w:t>
            </w:r>
          </w:p>
        </w:tc>
        <w:tc>
          <w:tcPr>
            <w:tcW w:type="dxa" w:w="1901"/>
            <w:tcMar>
              <w:top w:w="85" w:type="dxa"/>
              <w:start w:w="100" w:type="dxa"/>
              <w:bottom w:w="85" w:type="dxa"/>
              <w:end w:w="100" w:type="dxa"/>
            </w:tcMar>
            <w:vAlign w:val="center"/>
          </w:tcPr>
          <w:p>
            <w:pPr>
              <w:spacing w:after="0"/>
              <w:jc w:val="left"/>
            </w:pPr>
            <w:r>
              <w:rPr>
                <w:rFonts w:ascii="Arial" w:hAnsi="Arial"/>
                <w:color w:val="000000"/>
                <w:sz w:val="15"/>
              </w:rPr>
              <w:t>Pancreatic enzyme replacement</w:t>
            </w:r>
          </w:p>
        </w:tc>
        <w:tc>
          <w:tcPr>
            <w:tcW w:type="dxa" w:w="1699"/>
            <w:tcMar>
              <w:top w:w="85" w:type="dxa"/>
              <w:start w:w="100" w:type="dxa"/>
              <w:bottom w:w="85" w:type="dxa"/>
              <w:end w:w="100" w:type="dxa"/>
            </w:tcMar>
            <w:vAlign w:val="center"/>
          </w:tcPr>
          <w:p>
            <w:pPr>
              <w:spacing w:after="0"/>
              <w:jc w:val="center"/>
            </w:pPr>
            <w:r>
              <w:rPr>
                <w:rFonts w:ascii="Arial" w:hAnsi="Arial"/>
                <w:color w:val="000000"/>
                <w:sz w:val="15"/>
              </w:rPr>
              <w:t>Specialist GI brand</w:t>
            </w:r>
          </w:p>
        </w:tc>
        <w:tc>
          <w:tcPr>
            <w:tcW w:type="dxa" w:w="3110"/>
            <w:tcMar>
              <w:top w:w="85" w:type="dxa"/>
              <w:start w:w="100" w:type="dxa"/>
              <w:bottom w:w="85" w:type="dxa"/>
              <w:end w:w="100" w:type="dxa"/>
            </w:tcMar>
            <w:vAlign w:val="center"/>
          </w:tcPr>
          <w:p>
            <w:pPr>
              <w:spacing w:after="0"/>
              <w:jc w:val="left"/>
            </w:pPr>
            <w:r>
              <w:rPr>
                <w:rFonts w:ascii="Arial" w:hAnsi="Arial"/>
                <w:color w:val="000000"/>
                <w:sz w:val="15"/>
              </w:rPr>
              <w:t>Specialist-led chronic use with global Abbott lifecycle support.</w:t>
            </w:r>
          </w:p>
        </w:tc>
      </w:tr>
      <w:tr>
        <w:trPr>
          <w:cantSplit/>
        </w:trPr>
        <w:tc>
          <w:tcPr>
            <w:tcW w:type="dxa" w:w="1267"/>
            <w:tcMar>
              <w:top w:w="85" w:type="dxa"/>
              <w:start w:w="100" w:type="dxa"/>
              <w:bottom w:w="85" w:type="dxa"/>
              <w:end w:w="100" w:type="dxa"/>
            </w:tcMar>
            <w:shd w:fill="F4F7FA"/>
            <w:vAlign w:val="center"/>
          </w:tcPr>
          <w:p>
            <w:pPr>
              <w:spacing w:after="0"/>
              <w:jc w:val="left"/>
            </w:pPr>
            <w:r>
              <w:rPr>
                <w:rFonts w:ascii="Arial" w:hAnsi="Arial"/>
                <w:color w:val="000000"/>
                <w:sz w:val="15"/>
              </w:rPr>
              <w:t>Ganaton</w:t>
            </w:r>
          </w:p>
        </w:tc>
        <w:tc>
          <w:tcPr>
            <w:tcW w:type="dxa" w:w="1814"/>
            <w:tcMar>
              <w:top w:w="85" w:type="dxa"/>
              <w:start w:w="100" w:type="dxa"/>
              <w:bottom w:w="85" w:type="dxa"/>
              <w:end w:w="100" w:type="dxa"/>
            </w:tcMar>
            <w:shd w:fill="F4F7FA"/>
            <w:vAlign w:val="center"/>
          </w:tcPr>
          <w:p>
            <w:pPr>
              <w:spacing w:after="0"/>
              <w:jc w:val="center"/>
            </w:pPr>
            <w:r>
              <w:rPr>
                <w:rFonts w:ascii="Arial" w:hAnsi="Arial"/>
                <w:color w:val="000000"/>
                <w:sz w:val="15"/>
              </w:rPr>
              <w:t>Itopride</w:t>
            </w:r>
          </w:p>
        </w:tc>
        <w:tc>
          <w:tcPr>
            <w:tcW w:type="dxa" w:w="1901"/>
            <w:tcMar>
              <w:top w:w="85" w:type="dxa"/>
              <w:start w:w="100" w:type="dxa"/>
              <w:bottom w:w="85" w:type="dxa"/>
              <w:end w:w="100" w:type="dxa"/>
            </w:tcMar>
            <w:shd w:fill="F4F7FA"/>
            <w:vAlign w:val="center"/>
          </w:tcPr>
          <w:p>
            <w:pPr>
              <w:spacing w:after="0"/>
              <w:jc w:val="left"/>
            </w:pPr>
            <w:r>
              <w:rPr>
                <w:rFonts w:ascii="Arial" w:hAnsi="Arial"/>
                <w:color w:val="000000"/>
                <w:sz w:val="15"/>
              </w:rPr>
              <w:t>GI motility disorders</w:t>
            </w:r>
          </w:p>
        </w:tc>
        <w:tc>
          <w:tcPr>
            <w:tcW w:type="dxa" w:w="1699"/>
            <w:tcMar>
              <w:top w:w="85" w:type="dxa"/>
              <w:start w:w="100" w:type="dxa"/>
              <w:bottom w:w="85" w:type="dxa"/>
              <w:end w:w="100" w:type="dxa"/>
            </w:tcMar>
            <w:shd w:fill="F4F7FA"/>
            <w:vAlign w:val="center"/>
          </w:tcPr>
          <w:p>
            <w:pPr>
              <w:spacing w:after="0"/>
              <w:jc w:val="center"/>
            </w:pPr>
            <w:r>
              <w:rPr>
                <w:rFonts w:ascii="Arial" w:hAnsi="Arial"/>
                <w:color w:val="000000"/>
                <w:sz w:val="15"/>
              </w:rPr>
              <w:t>GI growth brand</w:t>
            </w:r>
          </w:p>
        </w:tc>
        <w:tc>
          <w:tcPr>
            <w:tcW w:type="dxa" w:w="3110"/>
            <w:tcMar>
              <w:top w:w="85" w:type="dxa"/>
              <w:start w:w="100" w:type="dxa"/>
              <w:bottom w:w="85" w:type="dxa"/>
              <w:end w:w="100" w:type="dxa"/>
            </w:tcMar>
            <w:shd w:fill="F4F7FA"/>
            <w:vAlign w:val="center"/>
          </w:tcPr>
          <w:p>
            <w:pPr>
              <w:spacing w:after="0"/>
              <w:jc w:val="left"/>
            </w:pPr>
            <w:r>
              <w:rPr>
                <w:rFonts w:ascii="Arial" w:hAnsi="Arial"/>
                <w:color w:val="000000"/>
                <w:sz w:val="15"/>
              </w:rPr>
              <w:t>Became the seventh GI brand above ₹100 crore annual sales in FY26.</w:t>
            </w:r>
          </w:p>
        </w:tc>
      </w:tr>
      <w:tr>
        <w:trPr>
          <w:cantSplit/>
        </w:trPr>
        <w:tc>
          <w:tcPr>
            <w:tcW w:type="dxa" w:w="1267"/>
            <w:tcMar>
              <w:top w:w="85" w:type="dxa"/>
              <w:start w:w="100" w:type="dxa"/>
              <w:bottom w:w="85" w:type="dxa"/>
              <w:end w:w="100" w:type="dxa"/>
            </w:tcMar>
            <w:vAlign w:val="center"/>
          </w:tcPr>
          <w:p>
            <w:pPr>
              <w:spacing w:after="0"/>
              <w:jc w:val="left"/>
            </w:pPr>
            <w:r>
              <w:rPr>
                <w:rFonts w:ascii="Arial" w:hAnsi="Arial"/>
                <w:color w:val="000000"/>
                <w:sz w:val="15"/>
              </w:rPr>
              <w:t>Extensior</w:t>
            </w:r>
          </w:p>
        </w:tc>
        <w:tc>
          <w:tcPr>
            <w:tcW w:type="dxa" w:w="1814"/>
            <w:tcMar>
              <w:top w:w="85" w:type="dxa"/>
              <w:start w:w="100" w:type="dxa"/>
              <w:bottom w:w="85" w:type="dxa"/>
              <w:end w:w="100" w:type="dxa"/>
            </w:tcMar>
            <w:vAlign w:val="center"/>
          </w:tcPr>
          <w:p>
            <w:pPr>
              <w:spacing w:after="0"/>
              <w:jc w:val="left"/>
            </w:pPr>
            <w:r>
              <w:rPr>
                <w:rFonts w:ascii="Arial" w:hAnsi="Arial"/>
                <w:color w:val="000000"/>
                <w:sz w:val="15"/>
              </w:rPr>
              <w:t>Originator semaglutide injection</w:t>
            </w:r>
          </w:p>
        </w:tc>
        <w:tc>
          <w:tcPr>
            <w:tcW w:type="dxa" w:w="1901"/>
            <w:tcMar>
              <w:top w:w="85" w:type="dxa"/>
              <w:start w:w="100" w:type="dxa"/>
              <w:bottom w:w="85" w:type="dxa"/>
              <w:end w:w="100" w:type="dxa"/>
            </w:tcMar>
            <w:vAlign w:val="center"/>
          </w:tcPr>
          <w:p>
            <w:pPr>
              <w:spacing w:after="0"/>
              <w:jc w:val="center"/>
            </w:pPr>
            <w:r>
              <w:rPr>
                <w:rFonts w:ascii="Arial" w:hAnsi="Arial"/>
                <w:color w:val="000000"/>
                <w:sz w:val="15"/>
              </w:rPr>
              <w:t>Type 2 diabetes</w:t>
            </w:r>
          </w:p>
        </w:tc>
        <w:tc>
          <w:tcPr>
            <w:tcW w:type="dxa" w:w="1699"/>
            <w:tcMar>
              <w:top w:w="85" w:type="dxa"/>
              <w:start w:w="100" w:type="dxa"/>
              <w:bottom w:w="85" w:type="dxa"/>
              <w:end w:w="100" w:type="dxa"/>
            </w:tcMar>
            <w:vAlign w:val="center"/>
          </w:tcPr>
          <w:p>
            <w:pPr>
              <w:spacing w:after="0"/>
              <w:jc w:val="center"/>
            </w:pPr>
            <w:r>
              <w:rPr>
                <w:rFonts w:ascii="Arial" w:hAnsi="Arial"/>
                <w:color w:val="000000"/>
                <w:sz w:val="15"/>
              </w:rPr>
              <w:t>New metabolic launch</w:t>
            </w:r>
          </w:p>
        </w:tc>
        <w:tc>
          <w:tcPr>
            <w:tcW w:type="dxa" w:w="3110"/>
            <w:tcMar>
              <w:top w:w="85" w:type="dxa"/>
              <w:start w:w="100" w:type="dxa"/>
              <w:bottom w:w="85" w:type="dxa"/>
              <w:end w:w="100" w:type="dxa"/>
            </w:tcMar>
            <w:vAlign w:val="center"/>
          </w:tcPr>
          <w:p>
            <w:pPr>
              <w:spacing w:after="0"/>
              <w:jc w:val="left"/>
            </w:pPr>
            <w:r>
              <w:rPr>
                <w:rFonts w:ascii="Arial" w:hAnsi="Arial"/>
                <w:color w:val="000000"/>
                <w:sz w:val="15"/>
              </w:rPr>
              <w:t>Novo manufactures; Abbott commercializes. Growth potential is high, but partner economics and generic competition cap the margin read-through.</w:t>
            </w:r>
          </w:p>
        </w:tc>
      </w:tr>
      <w:tr>
        <w:trPr>
          <w:cantSplit/>
        </w:trPr>
        <w:tc>
          <w:tcPr>
            <w:tcW w:type="dxa" w:w="1267"/>
            <w:tcMar>
              <w:top w:w="85" w:type="dxa"/>
              <w:start w:w="100" w:type="dxa"/>
              <w:bottom w:w="85" w:type="dxa"/>
              <w:end w:w="100" w:type="dxa"/>
            </w:tcMar>
            <w:shd w:fill="F4F7FA"/>
            <w:vAlign w:val="center"/>
          </w:tcPr>
          <w:p>
            <w:pPr>
              <w:spacing w:after="0"/>
              <w:jc w:val="left"/>
            </w:pPr>
            <w:r>
              <w:rPr>
                <w:rFonts w:ascii="Arial" w:hAnsi="Arial"/>
                <w:color w:val="000000"/>
                <w:sz w:val="15"/>
              </w:rPr>
              <w:t>Vertin</w:t>
            </w:r>
          </w:p>
        </w:tc>
        <w:tc>
          <w:tcPr>
            <w:tcW w:type="dxa" w:w="1814"/>
            <w:tcMar>
              <w:top w:w="85" w:type="dxa"/>
              <w:start w:w="100" w:type="dxa"/>
              <w:bottom w:w="85" w:type="dxa"/>
              <w:end w:w="100" w:type="dxa"/>
            </w:tcMar>
            <w:shd w:fill="F4F7FA"/>
            <w:vAlign w:val="center"/>
          </w:tcPr>
          <w:p>
            <w:pPr>
              <w:spacing w:after="0"/>
              <w:jc w:val="center"/>
            </w:pPr>
            <w:r>
              <w:rPr>
                <w:rFonts w:ascii="Arial" w:hAnsi="Arial"/>
                <w:color w:val="000000"/>
                <w:sz w:val="15"/>
              </w:rPr>
              <w:t>Betahistine</w:t>
            </w:r>
          </w:p>
        </w:tc>
        <w:tc>
          <w:tcPr>
            <w:tcW w:type="dxa" w:w="1901"/>
            <w:tcMar>
              <w:top w:w="85" w:type="dxa"/>
              <w:start w:w="100" w:type="dxa"/>
              <w:bottom w:w="85" w:type="dxa"/>
              <w:end w:w="100" w:type="dxa"/>
            </w:tcMar>
            <w:shd w:fill="F4F7FA"/>
            <w:vAlign w:val="center"/>
          </w:tcPr>
          <w:p>
            <w:pPr>
              <w:spacing w:after="0"/>
              <w:jc w:val="center"/>
            </w:pPr>
            <w:r>
              <w:rPr>
                <w:rFonts w:ascii="Arial" w:hAnsi="Arial"/>
                <w:color w:val="000000"/>
                <w:sz w:val="15"/>
              </w:rPr>
              <w:t>Vertigo</w:t>
            </w:r>
          </w:p>
        </w:tc>
        <w:tc>
          <w:tcPr>
            <w:tcW w:type="dxa" w:w="1699"/>
            <w:tcMar>
              <w:top w:w="85" w:type="dxa"/>
              <w:start w:w="100" w:type="dxa"/>
              <w:bottom w:w="85" w:type="dxa"/>
              <w:end w:w="100" w:type="dxa"/>
            </w:tcMar>
            <w:shd w:fill="F4F7FA"/>
            <w:vAlign w:val="center"/>
          </w:tcPr>
          <w:p>
            <w:pPr>
              <w:spacing w:after="0"/>
              <w:jc w:val="center"/>
            </w:pPr>
            <w:r>
              <w:rPr>
                <w:rFonts w:ascii="Arial" w:hAnsi="Arial"/>
                <w:color w:val="000000"/>
                <w:sz w:val="15"/>
              </w:rPr>
              <w:t>CNS anchor</w:t>
            </w:r>
          </w:p>
        </w:tc>
        <w:tc>
          <w:tcPr>
            <w:tcW w:type="dxa" w:w="3110"/>
            <w:tcMar>
              <w:top w:w="85" w:type="dxa"/>
              <w:start w:w="100" w:type="dxa"/>
              <w:bottom w:w="85" w:type="dxa"/>
              <w:end w:w="100" w:type="dxa"/>
            </w:tcMar>
            <w:shd w:fill="F4F7FA"/>
            <w:vAlign w:val="center"/>
          </w:tcPr>
          <w:p>
            <w:pPr>
              <w:spacing w:after="0"/>
              <w:jc w:val="left"/>
            </w:pPr>
            <w:r>
              <w:rPr>
                <w:rFonts w:ascii="Arial" w:hAnsi="Arial"/>
                <w:color w:val="000000"/>
                <w:sz w:val="15"/>
              </w:rPr>
              <w:t>Growth depends on diagnosis, adequate treatment duration and specialist plus consulting-physician coverage.</w:t>
            </w:r>
          </w:p>
        </w:tc>
      </w:tr>
      <w:tr>
        <w:trPr>
          <w:cantSplit/>
        </w:trPr>
        <w:tc>
          <w:tcPr>
            <w:tcW w:type="dxa" w:w="1267"/>
            <w:tcMar>
              <w:top w:w="85" w:type="dxa"/>
              <w:start w:w="100" w:type="dxa"/>
              <w:bottom w:w="85" w:type="dxa"/>
              <w:end w:w="100" w:type="dxa"/>
            </w:tcMar>
            <w:vAlign w:val="center"/>
          </w:tcPr>
          <w:p>
            <w:pPr>
              <w:spacing w:after="0"/>
              <w:jc w:val="left"/>
            </w:pPr>
            <w:r>
              <w:rPr>
                <w:rFonts w:ascii="Arial" w:hAnsi="Arial"/>
                <w:color w:val="000000"/>
                <w:sz w:val="15"/>
              </w:rPr>
              <w:t>Arachitol</w:t>
            </w:r>
          </w:p>
        </w:tc>
        <w:tc>
          <w:tcPr>
            <w:tcW w:type="dxa" w:w="1814"/>
            <w:tcMar>
              <w:top w:w="85" w:type="dxa"/>
              <w:start w:w="100" w:type="dxa"/>
              <w:bottom w:w="85" w:type="dxa"/>
              <w:end w:w="100" w:type="dxa"/>
            </w:tcMar>
            <w:vAlign w:val="center"/>
          </w:tcPr>
          <w:p>
            <w:pPr>
              <w:spacing w:after="0"/>
              <w:jc w:val="left"/>
            </w:pPr>
            <w:r>
              <w:rPr>
                <w:rFonts w:ascii="Arial" w:hAnsi="Arial"/>
                <w:color w:val="000000"/>
                <w:sz w:val="15"/>
              </w:rPr>
              <w:t>Cholecalciferol including nano formats</w:t>
            </w:r>
          </w:p>
        </w:tc>
        <w:tc>
          <w:tcPr>
            <w:tcW w:type="dxa" w:w="1901"/>
            <w:tcMar>
              <w:top w:w="85" w:type="dxa"/>
              <w:start w:w="100" w:type="dxa"/>
              <w:bottom w:w="85" w:type="dxa"/>
              <w:end w:w="100" w:type="dxa"/>
            </w:tcMar>
            <w:vAlign w:val="center"/>
          </w:tcPr>
          <w:p>
            <w:pPr>
              <w:spacing w:after="0"/>
              <w:jc w:val="center"/>
            </w:pPr>
            <w:r>
              <w:rPr>
                <w:rFonts w:ascii="Arial" w:hAnsi="Arial"/>
                <w:color w:val="000000"/>
                <w:sz w:val="15"/>
              </w:rPr>
              <w:t>Vitamin D deficiency</w:t>
            </w:r>
          </w:p>
        </w:tc>
        <w:tc>
          <w:tcPr>
            <w:tcW w:type="dxa" w:w="1699"/>
            <w:tcMar>
              <w:top w:w="85" w:type="dxa"/>
              <w:start w:w="100" w:type="dxa"/>
              <w:bottom w:w="85" w:type="dxa"/>
              <w:end w:w="100" w:type="dxa"/>
            </w:tcMar>
            <w:vAlign w:val="center"/>
          </w:tcPr>
          <w:p>
            <w:pPr>
              <w:spacing w:after="0"/>
              <w:jc w:val="left"/>
            </w:pPr>
            <w:r>
              <w:rPr>
                <w:rFonts w:ascii="Arial" w:hAnsi="Arial"/>
                <w:color w:val="000000"/>
                <w:sz w:val="15"/>
              </w:rPr>
              <w:t>Multi-specialty growth brand</w:t>
            </w:r>
          </w:p>
        </w:tc>
        <w:tc>
          <w:tcPr>
            <w:tcW w:type="dxa" w:w="3110"/>
            <w:tcMar>
              <w:top w:w="85" w:type="dxa"/>
              <w:start w:w="100" w:type="dxa"/>
              <w:bottom w:w="85" w:type="dxa"/>
              <w:end w:w="100" w:type="dxa"/>
            </w:tcMar>
            <w:vAlign w:val="center"/>
          </w:tcPr>
          <w:p>
            <w:pPr>
              <w:spacing w:after="0"/>
              <w:jc w:val="left"/>
            </w:pPr>
            <w:r>
              <w:rPr>
                <w:rFonts w:ascii="Arial" w:hAnsi="Arial"/>
                <w:color w:val="000000"/>
                <w:sz w:val="15"/>
              </w:rPr>
              <w:t>Differentiated formulation and screening create conversion across orthopedics, gynecology and physicians.</w:t>
            </w:r>
          </w:p>
        </w:tc>
      </w:tr>
      <w:tr>
        <w:trPr>
          <w:cantSplit/>
        </w:trPr>
        <w:tc>
          <w:tcPr>
            <w:tcW w:type="dxa" w:w="1267"/>
            <w:tcMar>
              <w:top w:w="85" w:type="dxa"/>
              <w:start w:w="100" w:type="dxa"/>
              <w:bottom w:w="85" w:type="dxa"/>
              <w:end w:w="100" w:type="dxa"/>
            </w:tcMar>
            <w:shd w:fill="F4F7FA"/>
            <w:vAlign w:val="center"/>
          </w:tcPr>
          <w:p>
            <w:pPr>
              <w:spacing w:after="0"/>
              <w:jc w:val="left"/>
            </w:pPr>
            <w:r>
              <w:rPr>
                <w:rFonts w:ascii="Arial" w:hAnsi="Arial"/>
                <w:color w:val="000000"/>
                <w:sz w:val="15"/>
              </w:rPr>
              <w:t>Influvac</w:t>
            </w:r>
          </w:p>
        </w:tc>
        <w:tc>
          <w:tcPr>
            <w:tcW w:type="dxa" w:w="1814"/>
            <w:tcMar>
              <w:top w:w="85" w:type="dxa"/>
              <w:start w:w="100" w:type="dxa"/>
              <w:bottom w:w="85" w:type="dxa"/>
              <w:end w:w="100" w:type="dxa"/>
            </w:tcMar>
            <w:shd w:fill="F4F7FA"/>
            <w:vAlign w:val="center"/>
          </w:tcPr>
          <w:p>
            <w:pPr>
              <w:spacing w:after="0"/>
              <w:jc w:val="center"/>
            </w:pPr>
            <w:r>
              <w:rPr>
                <w:rFonts w:ascii="Arial" w:hAnsi="Arial"/>
                <w:color w:val="000000"/>
                <w:sz w:val="15"/>
              </w:rPr>
              <w:t>Influenza vaccine</w:t>
            </w:r>
          </w:p>
        </w:tc>
        <w:tc>
          <w:tcPr>
            <w:tcW w:type="dxa" w:w="1901"/>
            <w:tcMar>
              <w:top w:w="85" w:type="dxa"/>
              <w:start w:w="100" w:type="dxa"/>
              <w:bottom w:w="85" w:type="dxa"/>
              <w:end w:w="100" w:type="dxa"/>
            </w:tcMar>
            <w:shd w:fill="F4F7FA"/>
            <w:vAlign w:val="center"/>
          </w:tcPr>
          <w:p>
            <w:pPr>
              <w:spacing w:after="0"/>
              <w:jc w:val="left"/>
            </w:pPr>
            <w:r>
              <w:rPr>
                <w:rFonts w:ascii="Arial" w:hAnsi="Arial"/>
                <w:color w:val="000000"/>
                <w:sz w:val="15"/>
              </w:rPr>
              <w:t>Seasonal influenza prevention</w:t>
            </w:r>
          </w:p>
        </w:tc>
        <w:tc>
          <w:tcPr>
            <w:tcW w:type="dxa" w:w="1699"/>
            <w:tcMar>
              <w:top w:w="85" w:type="dxa"/>
              <w:start w:w="100" w:type="dxa"/>
              <w:bottom w:w="85" w:type="dxa"/>
              <w:end w:w="100" w:type="dxa"/>
            </w:tcMar>
            <w:shd w:fill="F4F7FA"/>
            <w:vAlign w:val="center"/>
          </w:tcPr>
          <w:p>
            <w:pPr>
              <w:spacing w:after="0"/>
              <w:jc w:val="center"/>
            </w:pPr>
            <w:r>
              <w:rPr>
                <w:rFonts w:ascii="Arial" w:hAnsi="Arial"/>
                <w:color w:val="000000"/>
                <w:sz w:val="15"/>
              </w:rPr>
              <w:t>Adult-vaccine anchor</w:t>
            </w:r>
          </w:p>
        </w:tc>
        <w:tc>
          <w:tcPr>
            <w:tcW w:type="dxa" w:w="3110"/>
            <w:tcMar>
              <w:top w:w="85" w:type="dxa"/>
              <w:start w:w="100" w:type="dxa"/>
              <w:bottom w:w="85" w:type="dxa"/>
              <w:end w:w="100" w:type="dxa"/>
            </w:tcMar>
            <w:shd w:fill="F4F7FA"/>
            <w:vAlign w:val="center"/>
          </w:tcPr>
          <w:p>
            <w:pPr>
              <w:spacing w:after="0"/>
              <w:jc w:val="left"/>
            </w:pPr>
            <w:r>
              <w:rPr>
                <w:rFonts w:ascii="Arial" w:hAnsi="Arial"/>
                <w:color w:val="000000"/>
                <w:sz w:val="15"/>
              </w:rPr>
              <w:t>Competitive and seasonal; formulation transition and supply reliability influence growth.</w:t>
            </w:r>
          </w:p>
        </w:tc>
      </w:tr>
      <w:tr>
        <w:trPr>
          <w:cantSplit/>
        </w:trPr>
        <w:tc>
          <w:tcPr>
            <w:tcW w:type="dxa" w:w="1267"/>
            <w:tcMar>
              <w:top w:w="85" w:type="dxa"/>
              <w:start w:w="100" w:type="dxa"/>
              <w:bottom w:w="85" w:type="dxa"/>
              <w:end w:w="100" w:type="dxa"/>
            </w:tcMar>
            <w:vAlign w:val="center"/>
          </w:tcPr>
          <w:p>
            <w:pPr>
              <w:spacing w:after="0"/>
              <w:jc w:val="left"/>
            </w:pPr>
            <w:r>
              <w:rPr>
                <w:rFonts w:ascii="Arial" w:hAnsi="Arial"/>
                <w:color w:val="000000"/>
                <w:sz w:val="15"/>
              </w:rPr>
              <w:t>Pneumoshield 14</w:t>
            </w:r>
          </w:p>
        </w:tc>
        <w:tc>
          <w:tcPr>
            <w:tcW w:type="dxa" w:w="1814"/>
            <w:tcMar>
              <w:top w:w="85" w:type="dxa"/>
              <w:start w:w="100" w:type="dxa"/>
              <w:bottom w:w="85" w:type="dxa"/>
              <w:end w:w="100" w:type="dxa"/>
            </w:tcMar>
            <w:vAlign w:val="center"/>
          </w:tcPr>
          <w:p>
            <w:pPr>
              <w:spacing w:after="0"/>
              <w:jc w:val="left"/>
            </w:pPr>
            <w:r>
              <w:rPr>
                <w:rFonts w:ascii="Arial" w:hAnsi="Arial"/>
                <w:color w:val="000000"/>
                <w:sz w:val="15"/>
              </w:rPr>
              <w:t>Pneumococcal conjugate vaccine</w:t>
            </w:r>
          </w:p>
        </w:tc>
        <w:tc>
          <w:tcPr>
            <w:tcW w:type="dxa" w:w="1901"/>
            <w:tcMar>
              <w:top w:w="85" w:type="dxa"/>
              <w:start w:w="100" w:type="dxa"/>
              <w:bottom w:w="85" w:type="dxa"/>
              <w:end w:w="100" w:type="dxa"/>
            </w:tcMar>
            <w:vAlign w:val="center"/>
          </w:tcPr>
          <w:p>
            <w:pPr>
              <w:spacing w:after="0"/>
              <w:jc w:val="left"/>
            </w:pPr>
            <w:r>
              <w:rPr>
                <w:rFonts w:ascii="Arial" w:hAnsi="Arial"/>
                <w:color w:val="000000"/>
                <w:sz w:val="15"/>
              </w:rPr>
              <w:t>Pneumococcal disease prevention</w:t>
            </w:r>
          </w:p>
        </w:tc>
        <w:tc>
          <w:tcPr>
            <w:tcW w:type="dxa" w:w="1699"/>
            <w:tcMar>
              <w:top w:w="85" w:type="dxa"/>
              <w:start w:w="100" w:type="dxa"/>
              <w:bottom w:w="85" w:type="dxa"/>
              <w:end w:w="100" w:type="dxa"/>
            </w:tcMar>
            <w:vAlign w:val="center"/>
          </w:tcPr>
          <w:p>
            <w:pPr>
              <w:spacing w:after="0"/>
              <w:jc w:val="center"/>
            </w:pPr>
            <w:r>
              <w:rPr>
                <w:rFonts w:ascii="Arial" w:hAnsi="Arial"/>
                <w:color w:val="000000"/>
                <w:sz w:val="15"/>
              </w:rPr>
              <w:t>Vaccine expansion</w:t>
            </w:r>
          </w:p>
        </w:tc>
        <w:tc>
          <w:tcPr>
            <w:tcW w:type="dxa" w:w="3110"/>
            <w:tcMar>
              <w:top w:w="85" w:type="dxa"/>
              <w:start w:w="100" w:type="dxa"/>
              <w:bottom w:w="85" w:type="dxa"/>
              <w:end w:w="100" w:type="dxa"/>
            </w:tcMar>
            <w:vAlign w:val="center"/>
          </w:tcPr>
          <w:p>
            <w:pPr>
              <w:spacing w:after="0"/>
              <w:jc w:val="left"/>
            </w:pPr>
            <w:r>
              <w:rPr>
                <w:rFonts w:ascii="Arial" w:hAnsi="Arial"/>
                <w:color w:val="000000"/>
                <w:sz w:val="15"/>
              </w:rPr>
              <w:t>Supports pediatric and adult prevention, with access and physician education as key drivers.</w:t>
            </w:r>
          </w:p>
        </w:tc>
      </w:tr>
      <w:tr>
        <w:trPr>
          <w:cantSplit/>
        </w:trPr>
        <w:tc>
          <w:tcPr>
            <w:tcW w:type="dxa" w:w="1267"/>
            <w:tcMar>
              <w:top w:w="85" w:type="dxa"/>
              <w:start w:w="100" w:type="dxa"/>
              <w:bottom w:w="85" w:type="dxa"/>
              <w:end w:w="100" w:type="dxa"/>
            </w:tcMar>
            <w:shd w:fill="F4F7FA"/>
            <w:vAlign w:val="center"/>
          </w:tcPr>
          <w:p>
            <w:pPr>
              <w:spacing w:after="0"/>
              <w:jc w:val="left"/>
            </w:pPr>
            <w:r>
              <w:rPr>
                <w:rFonts w:ascii="Arial" w:hAnsi="Arial"/>
                <w:color w:val="000000"/>
                <w:sz w:val="15"/>
              </w:rPr>
              <w:t>Zolfresh</w:t>
            </w:r>
          </w:p>
        </w:tc>
        <w:tc>
          <w:tcPr>
            <w:tcW w:type="dxa" w:w="1814"/>
            <w:tcMar>
              <w:top w:w="85" w:type="dxa"/>
              <w:start w:w="100" w:type="dxa"/>
              <w:bottom w:w="85" w:type="dxa"/>
              <w:end w:w="100" w:type="dxa"/>
            </w:tcMar>
            <w:shd w:fill="F4F7FA"/>
            <w:vAlign w:val="center"/>
          </w:tcPr>
          <w:p>
            <w:pPr>
              <w:spacing w:after="0"/>
              <w:jc w:val="center"/>
            </w:pPr>
            <w:r>
              <w:rPr>
                <w:rFonts w:ascii="Arial" w:hAnsi="Arial"/>
                <w:color w:val="000000"/>
                <w:sz w:val="15"/>
              </w:rPr>
              <w:t>Zolpidem</w:t>
            </w:r>
          </w:p>
        </w:tc>
        <w:tc>
          <w:tcPr>
            <w:tcW w:type="dxa" w:w="1901"/>
            <w:tcMar>
              <w:top w:w="85" w:type="dxa"/>
              <w:start w:w="100" w:type="dxa"/>
              <w:bottom w:w="85" w:type="dxa"/>
              <w:end w:w="100" w:type="dxa"/>
            </w:tcMar>
            <w:shd w:fill="F4F7FA"/>
            <w:vAlign w:val="center"/>
          </w:tcPr>
          <w:p>
            <w:pPr>
              <w:spacing w:after="0"/>
              <w:jc w:val="center"/>
            </w:pPr>
            <w:r>
              <w:rPr>
                <w:rFonts w:ascii="Arial" w:hAnsi="Arial"/>
                <w:color w:val="000000"/>
                <w:sz w:val="15"/>
              </w:rPr>
              <w:t>Insomnia</w:t>
            </w:r>
          </w:p>
        </w:tc>
        <w:tc>
          <w:tcPr>
            <w:tcW w:type="dxa" w:w="1699"/>
            <w:tcMar>
              <w:top w:w="85" w:type="dxa"/>
              <w:start w:w="100" w:type="dxa"/>
              <w:bottom w:w="85" w:type="dxa"/>
              <w:end w:w="100" w:type="dxa"/>
            </w:tcMar>
            <w:shd w:fill="F4F7FA"/>
            <w:vAlign w:val="center"/>
          </w:tcPr>
          <w:p>
            <w:pPr>
              <w:spacing w:after="0"/>
              <w:jc w:val="center"/>
            </w:pPr>
            <w:r>
              <w:rPr>
                <w:rFonts w:ascii="Arial" w:hAnsi="Arial"/>
                <w:color w:val="000000"/>
                <w:sz w:val="15"/>
              </w:rPr>
              <w:t>CNS supporting brand</w:t>
            </w:r>
          </w:p>
        </w:tc>
        <w:tc>
          <w:tcPr>
            <w:tcW w:type="dxa" w:w="3110"/>
            <w:tcMar>
              <w:top w:w="85" w:type="dxa"/>
              <w:start w:w="100" w:type="dxa"/>
              <w:bottom w:w="85" w:type="dxa"/>
              <w:end w:w="100" w:type="dxa"/>
            </w:tcMar>
            <w:shd w:fill="F4F7FA"/>
            <w:vAlign w:val="center"/>
          </w:tcPr>
          <w:p>
            <w:pPr>
              <w:spacing w:after="0"/>
              <w:jc w:val="left"/>
            </w:pPr>
            <w:r>
              <w:rPr>
                <w:rFonts w:ascii="Arial" w:hAnsi="Arial"/>
                <w:color w:val="000000"/>
                <w:sz w:val="15"/>
              </w:rPr>
              <w:t>Mature prescription brand with controlled-use considerations.</w:t>
            </w:r>
          </w:p>
        </w:tc>
      </w:tr>
      <w:tr>
        <w:trPr>
          <w:cantSplit/>
        </w:trPr>
        <w:tc>
          <w:tcPr>
            <w:tcW w:type="dxa" w:w="1267"/>
            <w:tcMar>
              <w:top w:w="85" w:type="dxa"/>
              <w:start w:w="100" w:type="dxa"/>
              <w:bottom w:w="85" w:type="dxa"/>
              <w:end w:w="100" w:type="dxa"/>
            </w:tcMar>
            <w:vAlign w:val="center"/>
          </w:tcPr>
          <w:p>
            <w:pPr>
              <w:spacing w:after="0"/>
              <w:jc w:val="left"/>
            </w:pPr>
            <w:r>
              <w:rPr>
                <w:rFonts w:ascii="Arial" w:hAnsi="Arial"/>
                <w:color w:val="000000"/>
                <w:sz w:val="15"/>
              </w:rPr>
              <w:t>Prothiaden</w:t>
            </w:r>
          </w:p>
        </w:tc>
        <w:tc>
          <w:tcPr>
            <w:tcW w:type="dxa" w:w="1814"/>
            <w:tcMar>
              <w:top w:w="85" w:type="dxa"/>
              <w:start w:w="100" w:type="dxa"/>
              <w:bottom w:w="85" w:type="dxa"/>
              <w:end w:w="100" w:type="dxa"/>
            </w:tcMar>
            <w:vAlign w:val="center"/>
          </w:tcPr>
          <w:p>
            <w:pPr>
              <w:spacing w:after="0"/>
              <w:jc w:val="center"/>
            </w:pPr>
            <w:r>
              <w:rPr>
                <w:rFonts w:ascii="Arial" w:hAnsi="Arial"/>
                <w:color w:val="000000"/>
                <w:sz w:val="15"/>
              </w:rPr>
              <w:t>Dosulepin</w:t>
            </w:r>
          </w:p>
        </w:tc>
        <w:tc>
          <w:tcPr>
            <w:tcW w:type="dxa" w:w="1901"/>
            <w:tcMar>
              <w:top w:w="85" w:type="dxa"/>
              <w:start w:w="100" w:type="dxa"/>
              <w:bottom w:w="85" w:type="dxa"/>
              <w:end w:w="100" w:type="dxa"/>
            </w:tcMar>
            <w:vAlign w:val="center"/>
          </w:tcPr>
          <w:p>
            <w:pPr>
              <w:spacing w:after="0"/>
              <w:jc w:val="left"/>
            </w:pPr>
            <w:r>
              <w:rPr>
                <w:rFonts w:ascii="Arial" w:hAnsi="Arial"/>
                <w:color w:val="000000"/>
                <w:sz w:val="15"/>
              </w:rPr>
              <w:t>Depression and neuropathic pain</w:t>
            </w:r>
          </w:p>
        </w:tc>
        <w:tc>
          <w:tcPr>
            <w:tcW w:type="dxa" w:w="1699"/>
            <w:tcMar>
              <w:top w:w="85" w:type="dxa"/>
              <w:start w:w="100" w:type="dxa"/>
              <w:bottom w:w="85" w:type="dxa"/>
              <w:end w:w="100" w:type="dxa"/>
            </w:tcMar>
            <w:vAlign w:val="center"/>
          </w:tcPr>
          <w:p>
            <w:pPr>
              <w:spacing w:after="0"/>
              <w:jc w:val="center"/>
            </w:pPr>
            <w:r>
              <w:rPr>
                <w:rFonts w:ascii="Arial" w:hAnsi="Arial"/>
                <w:color w:val="000000"/>
                <w:sz w:val="15"/>
              </w:rPr>
              <w:t>CNS supporting brand</w:t>
            </w:r>
          </w:p>
        </w:tc>
        <w:tc>
          <w:tcPr>
            <w:tcW w:type="dxa" w:w="3110"/>
            <w:tcMar>
              <w:top w:w="85" w:type="dxa"/>
              <w:start w:w="100" w:type="dxa"/>
              <w:bottom w:w="85" w:type="dxa"/>
              <w:end w:w="100" w:type="dxa"/>
            </w:tcMar>
            <w:vAlign w:val="center"/>
          </w:tcPr>
          <w:p>
            <w:pPr>
              <w:spacing w:after="0"/>
              <w:jc w:val="left"/>
            </w:pPr>
            <w:r>
              <w:rPr>
                <w:rFonts w:ascii="Arial" w:hAnsi="Arial"/>
                <w:color w:val="000000"/>
                <w:sz w:val="15"/>
              </w:rPr>
              <w:t>Established brand; clinical-practice shifts and safety perceptions need monitoring.</w:t>
            </w:r>
          </w:p>
        </w:tc>
      </w:tr>
    </w:tbl>
    <w:p>
      <w:pPr>
        <w:spacing w:after="20"/>
      </w:pPr>
    </w:p>
    <w:p>
      <w:pPr>
        <w:pStyle w:val="Heading2"/>
      </w:pPr>
      <w:r>
        <w:rPr>
          <w:rFonts w:ascii="Arial" w:hAnsi="Arial"/>
          <w:b/>
          <w:color w:val="000000"/>
          <w:sz w:val="25"/>
        </w:rPr>
        <w:t>Gastrointestinal is the portfolio foundation</w:t>
      </w:r>
    </w:p>
    <w:p>
      <w:pPr>
        <w:keepLines w:val="0"/>
      </w:pPr>
      <w:r>
        <w:rPr>
          <w:rFonts w:ascii="Arial" w:hAnsi="Arial"/>
          <w:color w:val="000000"/>
          <w:sz w:val="21"/>
        </w:rPr>
        <w:t>The GI franchise combines liver care, constipation, antacids, motility disorders and pancreatic enzymes. That breadth matters because it lets the same sales and medical infrastructure serve hepatologists, gastroenterologists, physicians, surgeons and retail channels. It also reduces single-molecule dependence within the therapy. In FY26, Abbott said GI grew at double digits and ahead of the market. Udiliv exceeded ₹700 crore, while Ganaton became the seventh GI brand above ₹100 crore.</w:t>
      </w:r>
      <w:r>
        <w:rPr>
          <w:rFonts w:ascii="Arial" w:hAnsi="Arial"/>
          <w:color w:val="595959"/>
          <w:sz w:val="15"/>
          <w:vertAlign w:val="superscript"/>
        </w:rPr>
        <w:t xml:space="preserve"> [1]</w:t>
      </w:r>
    </w:p>
    <w:p>
      <w:pPr>
        <w:keepLines w:val="0"/>
      </w:pPr>
      <w:r>
        <w:rPr>
          <w:rFonts w:ascii="Arial" w:hAnsi="Arial"/>
          <w:color w:val="000000"/>
          <w:sz w:val="21"/>
        </w:rPr>
        <w:t>The franchise has three growth mechanisms. First, prescription penetration can rise within existing indications. Second, formulations and formats can extend occasions and adherence, as seen in Digene Insta On The Go and Duphalac Rapid. Third, Abbott can add adjacent molecules such as elobixibat under Ezybixy or raft-forming products such as Digeraft. The risk is that GI is also one of the most competitive parts of the Indian market, with many branded-generic alternatives and frequent promotional intensity. The franchise must keep growing prescriptions faster than its mature base loses incremental pricing power.</w:t>
      </w:r>
    </w:p>
    <w:p>
      <w:pPr>
        <w:pStyle w:val="Heading2"/>
      </w:pPr>
      <w:r>
        <w:rPr>
          <w:rFonts w:ascii="Arial" w:hAnsi="Arial"/>
          <w:b/>
          <w:color w:val="000000"/>
          <w:sz w:val="25"/>
        </w:rPr>
        <w:t>Metabolics moves from one great brand to a broader franchise</w:t>
      </w:r>
    </w:p>
    <w:p>
      <w:pPr>
        <w:keepLines w:val="0"/>
      </w:pPr>
      <w:r>
        <w:rPr>
          <w:rFonts w:ascii="Arial" w:hAnsi="Arial"/>
          <w:color w:val="000000"/>
          <w:sz w:val="21"/>
        </w:rPr>
        <w:t>Thyronorm is the economic center of Abbott India’s metabolics business. Hypothyroidism is chronic, diagnosis is increasingly accessible, dose titration encourages repeat physician interaction and patients often remain on the same trusted brand. The August 2026 market workbook showed ₹795 crore of TTM sales for Thyronorm and 12.8% growth, but that figure should be treated as a market estimate rather than company disclosure.</w:t>
      </w:r>
      <w:r>
        <w:rPr>
          <w:rFonts w:ascii="Arial" w:hAnsi="Arial"/>
          <w:color w:val="595959"/>
          <w:sz w:val="15"/>
          <w:vertAlign w:val="superscript"/>
        </w:rPr>
        <w:t xml:space="preserve"> [3]</w:t>
      </w:r>
    </w:p>
    <w:p>
      <w:pPr>
        <w:keepLines w:val="0"/>
      </w:pPr>
      <w:r>
        <w:rPr>
          <w:rFonts w:ascii="Arial" w:hAnsi="Arial"/>
          <w:color w:val="000000"/>
          <w:sz w:val="21"/>
        </w:rPr>
        <w:t>Extensior changes the shape of the franchise. It brings Abbott into GLP-1 therapy with Novo’s originator semaglutide and extends the company from thyroid into higher-value diabetes management. Abbott contributes distribution, physician reach and commercialization; Novo contributes the molecule, manufacturing and originator evidence. The launch can add revenue quickly without internal discovery spending, but retained gross profit is likely lower than for an owned legacy brand because the partner must capture part of the economics. The semaglutide patent expiry in India also brought more than 40 expected competitors and materially lower prices, which turns physician trust, supply reliability and brand positioning into the key differentiators.</w:t>
      </w:r>
      <w:r>
        <w:rPr>
          <w:rFonts w:ascii="Arial" w:hAnsi="Arial"/>
          <w:color w:val="595959"/>
          <w:sz w:val="15"/>
          <w:vertAlign w:val="superscript"/>
        </w:rPr>
        <w:t xml:space="preserve"> [4]</w:t>
      </w:r>
    </w:p>
    <w:p>
      <w:pPr>
        <w:pStyle w:val="Heading2"/>
      </w:pPr>
      <w:r>
        <w:rPr>
          <w:rFonts w:ascii="Arial" w:hAnsi="Arial"/>
          <w:b/>
          <w:color w:val="000000"/>
          <w:sz w:val="25"/>
        </w:rPr>
        <w:t>Women’s health is valuable but needs portfolio renewal</w:t>
      </w:r>
    </w:p>
    <w:p>
      <w:pPr>
        <w:keepLines w:val="0"/>
      </w:pPr>
      <w:r>
        <w:rPr>
          <w:rFonts w:ascii="Arial" w:hAnsi="Arial"/>
          <w:color w:val="000000"/>
          <w:sz w:val="21"/>
        </w:rPr>
        <w:t>Duphaston gives Abbott a leading position in dydrogesterone, supported by long-standing obstetrician and gynecologist trust. FY26 management explicitly described the market as slow-growing, fragmented and exposed to lower-priced generics. Abbott is therefore trying to diversify into fertility, contraception and menopause through a multi-brand approach, with Femoston as an important adjacency. The modelling implication is straightforward: Duphaston should not receive the same growth rate as the newer GI or metabolic launches unless market data shows renewed share or category growth.</w:t>
      </w:r>
      <w:r>
        <w:rPr>
          <w:rFonts w:ascii="Arial" w:hAnsi="Arial"/>
          <w:color w:val="595959"/>
          <w:sz w:val="15"/>
          <w:vertAlign w:val="superscript"/>
        </w:rPr>
        <w:t xml:space="preserve"> [1]</w:t>
      </w:r>
    </w:p>
    <w:p>
      <w:pPr>
        <w:pStyle w:val="Heading2"/>
      </w:pPr>
      <w:r>
        <w:rPr>
          <w:rFonts w:ascii="Arial" w:hAnsi="Arial"/>
          <w:b/>
          <w:color w:val="000000"/>
          <w:sz w:val="25"/>
        </w:rPr>
        <w:t>CNS and multi-specialty add steady breadth</w:t>
      </w:r>
    </w:p>
    <w:p>
      <w:pPr>
        <w:keepLines w:val="0"/>
      </w:pPr>
      <w:r>
        <w:rPr>
          <w:rFonts w:ascii="Arial" w:hAnsi="Arial"/>
          <w:color w:val="000000"/>
          <w:sz w:val="21"/>
        </w:rPr>
        <w:t>Vertin anchors CNS through vertigo, where diagnosis and adequate treatment duration remain imperfect. Abbott uses specialist education and evidence generation to expand treatment and adherence. Inderal, Prothiaden and Zolfresh broaden the CNS portfolio but are mature brands. In multi-specialty, Arachitol is the key growth asset. Abbott uses a nano formulation, screening and specialist coverage to convert a common but underdiagnosed deficiency into repeat treatment. This franchise is less concentrated by specialty and can use Abbott’s broad physician reach efficiently.</w:t>
      </w:r>
      <w:r>
        <w:rPr>
          <w:rFonts w:ascii="Arial" w:hAnsi="Arial"/>
          <w:color w:val="595959"/>
          <w:sz w:val="15"/>
          <w:vertAlign w:val="superscript"/>
        </w:rPr>
        <w:t xml:space="preserve"> [1]</w:t>
      </w:r>
    </w:p>
    <w:p>
      <w:pPr>
        <w:pStyle w:val="Heading2"/>
      </w:pPr>
      <w:r>
        <w:rPr>
          <w:rFonts w:ascii="Arial" w:hAnsi="Arial"/>
          <w:b/>
          <w:color w:val="000000"/>
          <w:sz w:val="25"/>
        </w:rPr>
        <w:t>Vaccines add preventive exposure with different economics</w:t>
      </w:r>
    </w:p>
    <w:p>
      <w:pPr>
        <w:keepLines w:val="0"/>
      </w:pPr>
      <w:r>
        <w:rPr>
          <w:rFonts w:ascii="Arial" w:hAnsi="Arial"/>
          <w:color w:val="000000"/>
          <w:sz w:val="21"/>
        </w:rPr>
        <w:t>Vaccines depend on seasonality, supply, formulation transitions and physician-led prevention. Influvac anchors adult influenza vaccination, while Pneumoshield 14 and Havshield broaden the portfolio. FY26 management described stable performance with competitive and pricing pressure as the influenza market shifted between quadrivalent and trivalent formulations. Unlike chronic tablets, vaccine revenue can be more seasonal and inventory-sensitive. The model should therefore avoid straight-line quarterly phasing.</w:t>
      </w:r>
      <w:r>
        <w:rPr>
          <w:rFonts w:ascii="Arial" w:hAnsi="Arial"/>
          <w:color w:val="595959"/>
          <w:sz w:val="15"/>
          <w:vertAlign w:val="superscript"/>
        </w:rPr>
        <w:t xml:space="preserve"> [1]</w:t>
      </w:r>
    </w:p>
    <w:p>
      <w:pPr>
        <w:pStyle w:val="Heading1"/>
      </w:pPr>
      <w:r>
        <w:rPr>
          <w:rFonts w:ascii="Arial" w:hAnsi="Arial"/>
          <w:b/>
          <w:color w:val="000000"/>
          <w:sz w:val="32"/>
        </w:rPr>
        <w:t>The commercial moat is execution rather than patents</w:t>
      </w:r>
    </w:p>
    <w:p>
      <w:pPr>
        <w:keepLines w:val="0"/>
      </w:pPr>
      <w:r>
        <w:rPr>
          <w:rFonts w:ascii="Arial" w:hAnsi="Arial"/>
          <w:color w:val="000000"/>
          <w:sz w:val="21"/>
        </w:rPr>
        <w:t>Abbott India’s competitive advantage has five layers. First, its large brands have decades of physician and patient familiarity. Second, the company combines promotion with clinical evidence and continuing medical education. It conducted about 13,000 medical-education programs reaching roughly 250,000 healthcare professionals in FY26, supported clinical studies and publications, and used screening programs to improve diagnosis. Third, a 3,679-person organization gives the company broad field and support capacity. Fourth, the portfolio spans multiple specialists, allowing infrastructure reuse. Fifth, the broader Abbott network improves access to global products and partners.</w:t>
      </w:r>
      <w:r>
        <w:rPr>
          <w:rFonts w:ascii="Arial" w:hAnsi="Arial"/>
          <w:color w:val="595959"/>
          <w:sz w:val="15"/>
          <w:vertAlign w:val="superscript"/>
        </w:rPr>
        <w:t xml:space="preserve"> [1]</w:t>
      </w:r>
    </w:p>
    <w:p>
      <w:pPr>
        <w:keepLines w:val="0"/>
      </w:pPr>
      <w:r>
        <w:rPr>
          <w:rFonts w:ascii="Arial" w:hAnsi="Arial"/>
          <w:color w:val="000000"/>
          <w:sz w:val="21"/>
        </w:rPr>
        <w:t>The moat is strongest where the treatment is chronic, the physician values consistency and the product requires dose stability or specialist confidence. Thyronorm is a clean example. It is weaker where substitution is easy, treatment is short, price dominates and many equivalent brands compete. Duphaston’s current generic pressure illustrates that limit. The correct valuation framework should therefore distinguish brand durability by molecule and prescribing behavior rather than apply one premium to the entire portfolio.</w:t>
      </w:r>
    </w:p>
    <w:p>
      <w:pPr>
        <w:pStyle w:val="Heading1"/>
      </w:pPr>
      <w:r>
        <w:rPr>
          <w:rFonts w:ascii="Arial" w:hAnsi="Arial"/>
          <w:b/>
          <w:color w:val="000000"/>
          <w:sz w:val="32"/>
        </w:rPr>
        <w:t>Operations and unit economics</w:t>
      </w:r>
    </w:p>
    <w:p>
      <w:pPr>
        <w:keepLines w:val="0"/>
      </w:pPr>
      <w:r>
        <w:rPr>
          <w:rFonts w:ascii="Arial" w:hAnsi="Arial"/>
          <w:color w:val="000000"/>
          <w:sz w:val="21"/>
        </w:rPr>
        <w:t>Abbott India’s unit economics start with net sales after returns and discounts. FY26 contracted revenue of ₹7,010 crore was reduced by ₹133 crore of sales returns and ₹31 crore of discounts, resulting in ₹6,846 crore of product and service revenue before smaller operating items. Product gross profit then depends on the acquisition or manufacturing cost of each brand. The P and L does not disclose brand margins, so mix has to be inferred from therapy growth, sourcing, partner structure and consolidated gross margin.</w:t>
      </w:r>
      <w:r>
        <w:rPr>
          <w:rFonts w:ascii="Arial" w:hAnsi="Arial"/>
          <w:color w:val="595959"/>
          <w:sz w:val="15"/>
          <w:vertAlign w:val="superscript"/>
        </w:rPr>
        <w:t xml:space="preserve"> [1]</w:t>
      </w:r>
    </w:p>
    <w:p>
      <w:pPr>
        <w:keepLines w:val="0"/>
      </w:pPr>
      <w:r>
        <w:rPr>
          <w:rFonts w:ascii="Arial" w:hAnsi="Arial"/>
          <w:color w:val="000000"/>
          <w:sz w:val="21"/>
        </w:rPr>
        <w:t>Reported material cost was ₹3,693 crore, equal to 53.3% of revenue. This leaves a gross-margin proxy of 46.7%. Employee expense was ₹669 crore, or 9.7% of revenue, and other expense ₹675 crore, also 9.7%. EBITDA was therefore ₹2,180 crore, or 31.5%. The margin has expanded by 780 basis points since FY22 even as revenue compounded at 9%, showing that productivity, portfolio mix and operating leverage have contributed more to earnings growth than topline acceleration alone.</w:t>
      </w:r>
      <w:r>
        <w:rPr>
          <w:rFonts w:ascii="Arial" w:hAnsi="Arial"/>
          <w:color w:val="595959"/>
          <w:sz w:val="15"/>
          <w:vertAlign w:val="superscript"/>
        </w:rPr>
        <w:t xml:space="preserve"> [1]</w:t>
      </w:r>
    </w:p>
    <w:p>
      <w:pPr>
        <w:keepLines w:val="0"/>
      </w:pPr>
      <w:r>
        <w:rPr>
          <w:rFonts w:ascii="Arial" w:hAnsi="Arial"/>
          <w:color w:val="000000"/>
          <w:sz w:val="21"/>
        </w:rPr>
        <w:t>Working capital is efficient but inventory needs attention. Receivable days improved slightly to 19.5, while inventory days rose to 90.4 from 78.3. Inventory reached ₹947 crore, including ₹638 crore of stock-in-trade. Trade payables were ₹1,107 crore, so inventory plus receivables less trade payables was only about ₹202 crore, roughly 3% of sales. The elevated inventory can reflect launch stock, supply resilience or mix, but the annual report does not provide enough evidence to assign the cause. It should be monitored alongside Extensior and vaccine launches.</w:t>
      </w:r>
      <w:r>
        <w:rPr>
          <w:rFonts w:ascii="Arial" w:hAnsi="Arial"/>
          <w:color w:val="595959"/>
          <w:sz w:val="15"/>
          <w:vertAlign w:val="superscript"/>
        </w:rPr>
        <w:t xml:space="preserve"> [1]</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666"/>
        <w:gridCol w:w="1666"/>
        <w:gridCol w:w="1666"/>
        <w:gridCol w:w="1666"/>
        <w:gridCol w:w="1666"/>
        <w:gridCol w:w="1666"/>
      </w:tblGrid>
      <w:tr>
        <w:trPr>
          <w:tblHeader w:val="true"/>
          <w:cantSplit/>
        </w:trPr>
        <w:tc>
          <w:tcPr>
            <w:tcW w:type="dxa" w:w="2448"/>
            <w:shd w:fill="17324D"/>
            <w:tcMar>
              <w:top w:w="95" w:type="dxa"/>
              <w:start w:w="100" w:type="dxa"/>
              <w:bottom w:w="95" w:type="dxa"/>
              <w:end w:w="100" w:type="dxa"/>
            </w:tcMar>
            <w:vAlign w:val="center"/>
          </w:tcPr>
          <w:p>
            <w:pPr>
              <w:spacing w:after="0"/>
              <w:jc w:val="center"/>
            </w:pPr>
            <w:r>
              <w:rPr>
                <w:rFonts w:ascii="Arial" w:hAnsi="Arial"/>
                <w:b/>
                <w:color w:val="FFFFFF"/>
                <w:sz w:val="17"/>
              </w:rPr>
              <w:t>₹ crore unless stated</w:t>
            </w:r>
          </w:p>
        </w:tc>
        <w:tc>
          <w:tcPr>
            <w:tcW w:type="dxa" w:w="1498"/>
            <w:shd w:fill="17324D"/>
            <w:tcMar>
              <w:top w:w="95" w:type="dxa"/>
              <w:start w:w="100" w:type="dxa"/>
              <w:bottom w:w="95" w:type="dxa"/>
              <w:end w:w="100" w:type="dxa"/>
            </w:tcMar>
            <w:vAlign w:val="center"/>
          </w:tcPr>
          <w:p>
            <w:pPr>
              <w:spacing w:after="0"/>
              <w:jc w:val="center"/>
            </w:pPr>
            <w:r>
              <w:rPr>
                <w:rFonts w:ascii="Arial" w:hAnsi="Arial"/>
                <w:b/>
                <w:color w:val="FFFFFF"/>
                <w:sz w:val="17"/>
              </w:rPr>
              <w:t>FY22</w:t>
            </w:r>
          </w:p>
        </w:tc>
        <w:tc>
          <w:tcPr>
            <w:tcW w:type="dxa" w:w="1498"/>
            <w:shd w:fill="17324D"/>
            <w:tcMar>
              <w:top w:w="95" w:type="dxa"/>
              <w:start w:w="100" w:type="dxa"/>
              <w:bottom w:w="95" w:type="dxa"/>
              <w:end w:w="100" w:type="dxa"/>
            </w:tcMar>
            <w:vAlign w:val="center"/>
          </w:tcPr>
          <w:p>
            <w:pPr>
              <w:spacing w:after="0"/>
              <w:jc w:val="center"/>
            </w:pPr>
            <w:r>
              <w:rPr>
                <w:rFonts w:ascii="Arial" w:hAnsi="Arial"/>
                <w:b/>
                <w:color w:val="FFFFFF"/>
                <w:sz w:val="17"/>
              </w:rPr>
              <w:t>FY23</w:t>
            </w:r>
          </w:p>
        </w:tc>
        <w:tc>
          <w:tcPr>
            <w:tcW w:type="dxa" w:w="1498"/>
            <w:shd w:fill="17324D"/>
            <w:tcMar>
              <w:top w:w="95" w:type="dxa"/>
              <w:start w:w="100" w:type="dxa"/>
              <w:bottom w:w="95" w:type="dxa"/>
              <w:end w:w="100" w:type="dxa"/>
            </w:tcMar>
            <w:vAlign w:val="center"/>
          </w:tcPr>
          <w:p>
            <w:pPr>
              <w:spacing w:after="0"/>
              <w:jc w:val="center"/>
            </w:pPr>
            <w:r>
              <w:rPr>
                <w:rFonts w:ascii="Arial" w:hAnsi="Arial"/>
                <w:b/>
                <w:color w:val="FFFFFF"/>
                <w:sz w:val="17"/>
              </w:rPr>
              <w:t>FY24</w:t>
            </w:r>
          </w:p>
        </w:tc>
        <w:tc>
          <w:tcPr>
            <w:tcW w:type="dxa" w:w="1498"/>
            <w:shd w:fill="17324D"/>
            <w:tcMar>
              <w:top w:w="95" w:type="dxa"/>
              <w:start w:w="100" w:type="dxa"/>
              <w:bottom w:w="95" w:type="dxa"/>
              <w:end w:w="100" w:type="dxa"/>
            </w:tcMar>
            <w:vAlign w:val="center"/>
          </w:tcPr>
          <w:p>
            <w:pPr>
              <w:spacing w:after="0"/>
              <w:jc w:val="center"/>
            </w:pPr>
            <w:r>
              <w:rPr>
                <w:rFonts w:ascii="Arial" w:hAnsi="Arial"/>
                <w:b/>
                <w:color w:val="FFFFFF"/>
                <w:sz w:val="17"/>
              </w:rPr>
              <w:t>FY25</w:t>
            </w:r>
          </w:p>
        </w:tc>
        <w:tc>
          <w:tcPr>
            <w:tcW w:type="dxa" w:w="1498"/>
            <w:shd w:fill="17324D"/>
            <w:tcMar>
              <w:top w:w="95" w:type="dxa"/>
              <w:start w:w="100" w:type="dxa"/>
              <w:bottom w:w="95" w:type="dxa"/>
              <w:end w:w="100" w:type="dxa"/>
            </w:tcMar>
            <w:vAlign w:val="center"/>
          </w:tcPr>
          <w:p>
            <w:pPr>
              <w:spacing w:after="0"/>
              <w:jc w:val="center"/>
            </w:pPr>
            <w:r>
              <w:rPr>
                <w:rFonts w:ascii="Arial" w:hAnsi="Arial"/>
                <w:b/>
                <w:color w:val="FFFFFF"/>
                <w:sz w:val="17"/>
              </w:rPr>
              <w:t>FY26</w:t>
            </w:r>
          </w:p>
        </w:tc>
      </w:tr>
      <w:tr>
        <w:trPr>
          <w:cantSplit/>
        </w:trPr>
        <w:tc>
          <w:tcPr>
            <w:tcW w:type="dxa" w:w="2448"/>
            <w:tcMar>
              <w:top w:w="85" w:type="dxa"/>
              <w:start w:w="100" w:type="dxa"/>
              <w:bottom w:w="85" w:type="dxa"/>
              <w:end w:w="100" w:type="dxa"/>
            </w:tcMar>
            <w:vAlign w:val="center"/>
          </w:tcPr>
          <w:p>
            <w:pPr>
              <w:spacing w:after="0"/>
              <w:jc w:val="left"/>
            </w:pPr>
            <w:r>
              <w:rPr>
                <w:rFonts w:ascii="Arial" w:hAnsi="Arial"/>
                <w:color w:val="000000"/>
                <w:sz w:val="17"/>
              </w:rPr>
              <w:t>Revenue</w:t>
            </w:r>
          </w:p>
        </w:tc>
        <w:tc>
          <w:tcPr>
            <w:tcW w:type="dxa" w:w="1498"/>
            <w:tcMar>
              <w:top w:w="85" w:type="dxa"/>
              <w:start w:w="100" w:type="dxa"/>
              <w:bottom w:w="85" w:type="dxa"/>
              <w:end w:w="100" w:type="dxa"/>
            </w:tcMar>
            <w:vAlign w:val="center"/>
          </w:tcPr>
          <w:p>
            <w:pPr>
              <w:spacing w:after="0"/>
              <w:jc w:val="center"/>
            </w:pPr>
            <w:r>
              <w:rPr>
                <w:rFonts w:ascii="Arial" w:hAnsi="Arial"/>
                <w:color w:val="000000"/>
                <w:sz w:val="17"/>
              </w:rPr>
              <w:t>4,913</w:t>
            </w:r>
          </w:p>
        </w:tc>
        <w:tc>
          <w:tcPr>
            <w:tcW w:type="dxa" w:w="1498"/>
            <w:tcMar>
              <w:top w:w="85" w:type="dxa"/>
              <w:start w:w="100" w:type="dxa"/>
              <w:bottom w:w="85" w:type="dxa"/>
              <w:end w:w="100" w:type="dxa"/>
            </w:tcMar>
            <w:vAlign w:val="center"/>
          </w:tcPr>
          <w:p>
            <w:pPr>
              <w:spacing w:after="0"/>
              <w:jc w:val="center"/>
            </w:pPr>
            <w:r>
              <w:rPr>
                <w:rFonts w:ascii="Arial" w:hAnsi="Arial"/>
                <w:color w:val="000000"/>
                <w:sz w:val="17"/>
              </w:rPr>
              <w:t>5,349</w:t>
            </w:r>
          </w:p>
        </w:tc>
        <w:tc>
          <w:tcPr>
            <w:tcW w:type="dxa" w:w="1498"/>
            <w:tcMar>
              <w:top w:w="85" w:type="dxa"/>
              <w:start w:w="100" w:type="dxa"/>
              <w:bottom w:w="85" w:type="dxa"/>
              <w:end w:w="100" w:type="dxa"/>
            </w:tcMar>
            <w:vAlign w:val="center"/>
          </w:tcPr>
          <w:p>
            <w:pPr>
              <w:spacing w:after="0"/>
              <w:jc w:val="center"/>
            </w:pPr>
            <w:r>
              <w:rPr>
                <w:rFonts w:ascii="Arial" w:hAnsi="Arial"/>
                <w:color w:val="000000"/>
                <w:sz w:val="17"/>
              </w:rPr>
              <w:t>5,849</w:t>
            </w:r>
          </w:p>
        </w:tc>
        <w:tc>
          <w:tcPr>
            <w:tcW w:type="dxa" w:w="1498"/>
            <w:tcMar>
              <w:top w:w="85" w:type="dxa"/>
              <w:start w:w="100" w:type="dxa"/>
              <w:bottom w:w="85" w:type="dxa"/>
              <w:end w:w="100" w:type="dxa"/>
            </w:tcMar>
            <w:vAlign w:val="center"/>
          </w:tcPr>
          <w:p>
            <w:pPr>
              <w:spacing w:after="0"/>
              <w:jc w:val="center"/>
            </w:pPr>
            <w:r>
              <w:rPr>
                <w:rFonts w:ascii="Arial" w:hAnsi="Arial"/>
                <w:color w:val="000000"/>
                <w:sz w:val="17"/>
              </w:rPr>
              <w:t>6,409</w:t>
            </w:r>
          </w:p>
        </w:tc>
        <w:tc>
          <w:tcPr>
            <w:tcW w:type="dxa" w:w="1498"/>
            <w:tcMar>
              <w:top w:w="85" w:type="dxa"/>
              <w:start w:w="100" w:type="dxa"/>
              <w:bottom w:w="85" w:type="dxa"/>
              <w:end w:w="100" w:type="dxa"/>
            </w:tcMar>
            <w:vAlign w:val="center"/>
          </w:tcPr>
          <w:p>
            <w:pPr>
              <w:spacing w:after="0"/>
              <w:jc w:val="center"/>
            </w:pPr>
            <w:r>
              <w:rPr>
                <w:rFonts w:ascii="Arial" w:hAnsi="Arial"/>
                <w:color w:val="000000"/>
                <w:sz w:val="17"/>
              </w:rPr>
              <w:t>6,929</w:t>
            </w:r>
          </w:p>
        </w:tc>
      </w:tr>
      <w:tr>
        <w:trPr>
          <w:cantSplit/>
        </w:trPr>
        <w:tc>
          <w:tcPr>
            <w:tcW w:type="dxa" w:w="2448"/>
            <w:tcMar>
              <w:top w:w="85" w:type="dxa"/>
              <w:start w:w="100" w:type="dxa"/>
              <w:bottom w:w="85" w:type="dxa"/>
              <w:end w:w="100" w:type="dxa"/>
            </w:tcMar>
            <w:shd w:fill="F4F7FA"/>
            <w:vAlign w:val="center"/>
          </w:tcPr>
          <w:p>
            <w:pPr>
              <w:spacing w:after="0"/>
              <w:jc w:val="left"/>
            </w:pPr>
            <w:r>
              <w:rPr>
                <w:rFonts w:ascii="Arial" w:hAnsi="Arial"/>
                <w:color w:val="000000"/>
                <w:sz w:val="17"/>
              </w:rPr>
              <w:t>Revenue growth</w:t>
            </w:r>
          </w:p>
        </w:tc>
        <w:tc>
          <w:tcPr>
            <w:tcW w:type="dxa" w:w="1498"/>
            <w:tcMar>
              <w:top w:w="85" w:type="dxa"/>
              <w:start w:w="100" w:type="dxa"/>
              <w:bottom w:w="85" w:type="dxa"/>
              <w:end w:w="100" w:type="dxa"/>
            </w:tcMar>
            <w:shd w:fill="F4F7FA"/>
            <w:vAlign w:val="center"/>
          </w:tcPr>
          <w:p>
            <w:pPr>
              <w:spacing w:after="0"/>
              <w:jc w:val="center"/>
            </w:pPr>
            <w:r>
              <w:rPr>
                <w:rFonts w:ascii="Arial" w:hAnsi="Arial"/>
                <w:color w:val="000000"/>
                <w:sz w:val="17"/>
              </w:rPr>
              <w:t>14.0%</w:t>
            </w:r>
          </w:p>
        </w:tc>
        <w:tc>
          <w:tcPr>
            <w:tcW w:type="dxa" w:w="1498"/>
            <w:tcMar>
              <w:top w:w="85" w:type="dxa"/>
              <w:start w:w="100" w:type="dxa"/>
              <w:bottom w:w="85" w:type="dxa"/>
              <w:end w:w="100" w:type="dxa"/>
            </w:tcMar>
            <w:shd w:fill="F4F7FA"/>
            <w:vAlign w:val="center"/>
          </w:tcPr>
          <w:p>
            <w:pPr>
              <w:spacing w:after="0"/>
              <w:jc w:val="center"/>
            </w:pPr>
            <w:r>
              <w:rPr>
                <w:rFonts w:ascii="Arial" w:hAnsi="Arial"/>
                <w:color w:val="000000"/>
                <w:sz w:val="17"/>
              </w:rPr>
              <w:t>8.9%</w:t>
            </w:r>
          </w:p>
        </w:tc>
        <w:tc>
          <w:tcPr>
            <w:tcW w:type="dxa" w:w="1498"/>
            <w:tcMar>
              <w:top w:w="85" w:type="dxa"/>
              <w:start w:w="100" w:type="dxa"/>
              <w:bottom w:w="85" w:type="dxa"/>
              <w:end w:w="100" w:type="dxa"/>
            </w:tcMar>
            <w:shd w:fill="F4F7FA"/>
            <w:vAlign w:val="center"/>
          </w:tcPr>
          <w:p>
            <w:pPr>
              <w:spacing w:after="0"/>
              <w:jc w:val="center"/>
            </w:pPr>
            <w:r>
              <w:rPr>
                <w:rFonts w:ascii="Arial" w:hAnsi="Arial"/>
                <w:color w:val="000000"/>
                <w:sz w:val="17"/>
              </w:rPr>
              <w:t>9.4%</w:t>
            </w:r>
          </w:p>
        </w:tc>
        <w:tc>
          <w:tcPr>
            <w:tcW w:type="dxa" w:w="1498"/>
            <w:tcMar>
              <w:top w:w="85" w:type="dxa"/>
              <w:start w:w="100" w:type="dxa"/>
              <w:bottom w:w="85" w:type="dxa"/>
              <w:end w:w="100" w:type="dxa"/>
            </w:tcMar>
            <w:shd w:fill="F4F7FA"/>
            <w:vAlign w:val="center"/>
          </w:tcPr>
          <w:p>
            <w:pPr>
              <w:spacing w:after="0"/>
              <w:jc w:val="center"/>
            </w:pPr>
            <w:r>
              <w:rPr>
                <w:rFonts w:ascii="Arial" w:hAnsi="Arial"/>
                <w:color w:val="000000"/>
                <w:sz w:val="17"/>
              </w:rPr>
              <w:t>9.6%</w:t>
            </w:r>
          </w:p>
        </w:tc>
        <w:tc>
          <w:tcPr>
            <w:tcW w:type="dxa" w:w="1498"/>
            <w:tcMar>
              <w:top w:w="85" w:type="dxa"/>
              <w:start w:w="100" w:type="dxa"/>
              <w:bottom w:w="85" w:type="dxa"/>
              <w:end w:w="100" w:type="dxa"/>
            </w:tcMar>
            <w:shd w:fill="F4F7FA"/>
            <w:vAlign w:val="center"/>
          </w:tcPr>
          <w:p>
            <w:pPr>
              <w:spacing w:after="0"/>
              <w:jc w:val="center"/>
            </w:pPr>
            <w:r>
              <w:rPr>
                <w:rFonts w:ascii="Arial" w:hAnsi="Arial"/>
                <w:color w:val="000000"/>
                <w:sz w:val="17"/>
              </w:rPr>
              <w:t>8.1%</w:t>
            </w:r>
          </w:p>
        </w:tc>
      </w:tr>
      <w:tr>
        <w:trPr>
          <w:cantSplit/>
        </w:trPr>
        <w:tc>
          <w:tcPr>
            <w:tcW w:type="dxa" w:w="2448"/>
            <w:tcMar>
              <w:top w:w="85" w:type="dxa"/>
              <w:start w:w="100" w:type="dxa"/>
              <w:bottom w:w="85" w:type="dxa"/>
              <w:end w:w="100" w:type="dxa"/>
            </w:tcMar>
            <w:vAlign w:val="center"/>
          </w:tcPr>
          <w:p>
            <w:pPr>
              <w:spacing w:after="0"/>
              <w:jc w:val="left"/>
            </w:pPr>
            <w:r>
              <w:rPr>
                <w:rFonts w:ascii="Arial" w:hAnsi="Arial"/>
                <w:color w:val="000000"/>
                <w:sz w:val="17"/>
              </w:rPr>
              <w:t>EBITDA</w:t>
            </w:r>
          </w:p>
        </w:tc>
        <w:tc>
          <w:tcPr>
            <w:tcW w:type="dxa" w:w="1498"/>
            <w:tcMar>
              <w:top w:w="85" w:type="dxa"/>
              <w:start w:w="100" w:type="dxa"/>
              <w:bottom w:w="85" w:type="dxa"/>
              <w:end w:w="100" w:type="dxa"/>
            </w:tcMar>
            <w:vAlign w:val="center"/>
          </w:tcPr>
          <w:p>
            <w:pPr>
              <w:spacing w:after="0"/>
              <w:jc w:val="center"/>
            </w:pPr>
            <w:r>
              <w:rPr>
                <w:rFonts w:ascii="Arial" w:hAnsi="Arial"/>
                <w:color w:val="000000"/>
                <w:sz w:val="17"/>
              </w:rPr>
              <w:t>1,165</w:t>
            </w:r>
          </w:p>
        </w:tc>
        <w:tc>
          <w:tcPr>
            <w:tcW w:type="dxa" w:w="1498"/>
            <w:tcMar>
              <w:top w:w="85" w:type="dxa"/>
              <w:start w:w="100" w:type="dxa"/>
              <w:bottom w:w="85" w:type="dxa"/>
              <w:end w:w="100" w:type="dxa"/>
            </w:tcMar>
            <w:vAlign w:val="center"/>
          </w:tcPr>
          <w:p>
            <w:pPr>
              <w:spacing w:after="0"/>
              <w:jc w:val="center"/>
            </w:pPr>
            <w:r>
              <w:rPr>
                <w:rFonts w:ascii="Arial" w:hAnsi="Arial"/>
                <w:color w:val="000000"/>
                <w:sz w:val="17"/>
              </w:rPr>
              <w:t>1,360</w:t>
            </w:r>
          </w:p>
        </w:tc>
        <w:tc>
          <w:tcPr>
            <w:tcW w:type="dxa" w:w="1498"/>
            <w:tcMar>
              <w:top w:w="85" w:type="dxa"/>
              <w:start w:w="100" w:type="dxa"/>
              <w:bottom w:w="85" w:type="dxa"/>
              <w:end w:w="100" w:type="dxa"/>
            </w:tcMar>
            <w:vAlign w:val="center"/>
          </w:tcPr>
          <w:p>
            <w:pPr>
              <w:spacing w:after="0"/>
              <w:jc w:val="center"/>
            </w:pPr>
            <w:r>
              <w:rPr>
                <w:rFonts w:ascii="Arial" w:hAnsi="Arial"/>
                <w:color w:val="000000"/>
                <w:sz w:val="17"/>
              </w:rPr>
              <w:t>1,701</w:t>
            </w:r>
          </w:p>
        </w:tc>
        <w:tc>
          <w:tcPr>
            <w:tcW w:type="dxa" w:w="1498"/>
            <w:tcMar>
              <w:top w:w="85" w:type="dxa"/>
              <w:start w:w="100" w:type="dxa"/>
              <w:bottom w:w="85" w:type="dxa"/>
              <w:end w:w="100" w:type="dxa"/>
            </w:tcMar>
            <w:vAlign w:val="center"/>
          </w:tcPr>
          <w:p>
            <w:pPr>
              <w:spacing w:after="0"/>
              <w:jc w:val="center"/>
            </w:pPr>
            <w:r>
              <w:rPr>
                <w:rFonts w:ascii="Arial" w:hAnsi="Arial"/>
                <w:color w:val="000000"/>
                <w:sz w:val="17"/>
              </w:rPr>
              <w:t>1,970</w:t>
            </w:r>
          </w:p>
        </w:tc>
        <w:tc>
          <w:tcPr>
            <w:tcW w:type="dxa" w:w="1498"/>
            <w:tcMar>
              <w:top w:w="85" w:type="dxa"/>
              <w:start w:w="100" w:type="dxa"/>
              <w:bottom w:w="85" w:type="dxa"/>
              <w:end w:w="100" w:type="dxa"/>
            </w:tcMar>
            <w:vAlign w:val="center"/>
          </w:tcPr>
          <w:p>
            <w:pPr>
              <w:spacing w:after="0"/>
              <w:jc w:val="center"/>
            </w:pPr>
            <w:r>
              <w:rPr>
                <w:rFonts w:ascii="Arial" w:hAnsi="Arial"/>
                <w:color w:val="000000"/>
                <w:sz w:val="17"/>
              </w:rPr>
              <w:t>2,180</w:t>
            </w:r>
          </w:p>
        </w:tc>
      </w:tr>
      <w:tr>
        <w:trPr>
          <w:cantSplit/>
        </w:trPr>
        <w:tc>
          <w:tcPr>
            <w:tcW w:type="dxa" w:w="2448"/>
            <w:tcMar>
              <w:top w:w="85" w:type="dxa"/>
              <w:start w:w="100" w:type="dxa"/>
              <w:bottom w:w="85" w:type="dxa"/>
              <w:end w:w="100" w:type="dxa"/>
            </w:tcMar>
            <w:shd w:fill="F4F7FA"/>
            <w:vAlign w:val="center"/>
          </w:tcPr>
          <w:p>
            <w:pPr>
              <w:spacing w:after="0"/>
              <w:jc w:val="left"/>
            </w:pPr>
            <w:r>
              <w:rPr>
                <w:rFonts w:ascii="Arial" w:hAnsi="Arial"/>
                <w:color w:val="000000"/>
                <w:sz w:val="17"/>
              </w:rPr>
              <w:t>EBITDA margin</w:t>
            </w:r>
          </w:p>
        </w:tc>
        <w:tc>
          <w:tcPr>
            <w:tcW w:type="dxa" w:w="1498"/>
            <w:tcMar>
              <w:top w:w="85" w:type="dxa"/>
              <w:start w:w="100" w:type="dxa"/>
              <w:bottom w:w="85" w:type="dxa"/>
              <w:end w:w="100" w:type="dxa"/>
            </w:tcMar>
            <w:shd w:fill="F4F7FA"/>
            <w:vAlign w:val="center"/>
          </w:tcPr>
          <w:p>
            <w:pPr>
              <w:spacing w:after="0"/>
              <w:jc w:val="center"/>
            </w:pPr>
            <w:r>
              <w:rPr>
                <w:rFonts w:ascii="Arial" w:hAnsi="Arial"/>
                <w:color w:val="000000"/>
                <w:sz w:val="17"/>
              </w:rPr>
              <w:t>23.7%</w:t>
            </w:r>
          </w:p>
        </w:tc>
        <w:tc>
          <w:tcPr>
            <w:tcW w:type="dxa" w:w="1498"/>
            <w:tcMar>
              <w:top w:w="85" w:type="dxa"/>
              <w:start w:w="100" w:type="dxa"/>
              <w:bottom w:w="85" w:type="dxa"/>
              <w:end w:w="100" w:type="dxa"/>
            </w:tcMar>
            <w:shd w:fill="F4F7FA"/>
            <w:vAlign w:val="center"/>
          </w:tcPr>
          <w:p>
            <w:pPr>
              <w:spacing w:after="0"/>
              <w:jc w:val="center"/>
            </w:pPr>
            <w:r>
              <w:rPr>
                <w:rFonts w:ascii="Arial" w:hAnsi="Arial"/>
                <w:color w:val="000000"/>
                <w:sz w:val="17"/>
              </w:rPr>
              <w:t>25.4%</w:t>
            </w:r>
          </w:p>
        </w:tc>
        <w:tc>
          <w:tcPr>
            <w:tcW w:type="dxa" w:w="1498"/>
            <w:tcMar>
              <w:top w:w="85" w:type="dxa"/>
              <w:start w:w="100" w:type="dxa"/>
              <w:bottom w:w="85" w:type="dxa"/>
              <w:end w:w="100" w:type="dxa"/>
            </w:tcMar>
            <w:shd w:fill="F4F7FA"/>
            <w:vAlign w:val="center"/>
          </w:tcPr>
          <w:p>
            <w:pPr>
              <w:spacing w:after="0"/>
              <w:jc w:val="center"/>
            </w:pPr>
            <w:r>
              <w:rPr>
                <w:rFonts w:ascii="Arial" w:hAnsi="Arial"/>
                <w:color w:val="000000"/>
                <w:sz w:val="17"/>
              </w:rPr>
              <w:t>29.1%</w:t>
            </w:r>
          </w:p>
        </w:tc>
        <w:tc>
          <w:tcPr>
            <w:tcW w:type="dxa" w:w="1498"/>
            <w:tcMar>
              <w:top w:w="85" w:type="dxa"/>
              <w:start w:w="100" w:type="dxa"/>
              <w:bottom w:w="85" w:type="dxa"/>
              <w:end w:w="100" w:type="dxa"/>
            </w:tcMar>
            <w:shd w:fill="F4F7FA"/>
            <w:vAlign w:val="center"/>
          </w:tcPr>
          <w:p>
            <w:pPr>
              <w:spacing w:after="0"/>
              <w:jc w:val="center"/>
            </w:pPr>
            <w:r>
              <w:rPr>
                <w:rFonts w:ascii="Arial" w:hAnsi="Arial"/>
                <w:color w:val="000000"/>
                <w:sz w:val="17"/>
              </w:rPr>
              <w:t>30.7%</w:t>
            </w:r>
          </w:p>
        </w:tc>
        <w:tc>
          <w:tcPr>
            <w:tcW w:type="dxa" w:w="1498"/>
            <w:tcMar>
              <w:top w:w="85" w:type="dxa"/>
              <w:start w:w="100" w:type="dxa"/>
              <w:bottom w:w="85" w:type="dxa"/>
              <w:end w:w="100" w:type="dxa"/>
            </w:tcMar>
            <w:shd w:fill="F4F7FA"/>
            <w:vAlign w:val="center"/>
          </w:tcPr>
          <w:p>
            <w:pPr>
              <w:spacing w:after="0"/>
              <w:jc w:val="center"/>
            </w:pPr>
            <w:r>
              <w:rPr>
                <w:rFonts w:ascii="Arial" w:hAnsi="Arial"/>
                <w:color w:val="000000"/>
                <w:sz w:val="17"/>
              </w:rPr>
              <w:t>31.5%</w:t>
            </w:r>
          </w:p>
        </w:tc>
      </w:tr>
      <w:tr>
        <w:trPr>
          <w:cantSplit/>
        </w:trPr>
        <w:tc>
          <w:tcPr>
            <w:tcW w:type="dxa" w:w="2448"/>
            <w:tcMar>
              <w:top w:w="85" w:type="dxa"/>
              <w:start w:w="100" w:type="dxa"/>
              <w:bottom w:w="85" w:type="dxa"/>
              <w:end w:w="100" w:type="dxa"/>
            </w:tcMar>
            <w:vAlign w:val="center"/>
          </w:tcPr>
          <w:p>
            <w:pPr>
              <w:spacing w:after="0"/>
              <w:jc w:val="left"/>
            </w:pPr>
            <w:r>
              <w:rPr>
                <w:rFonts w:ascii="Arial" w:hAnsi="Arial"/>
                <w:color w:val="000000"/>
                <w:sz w:val="17"/>
              </w:rPr>
              <w:t>PAT</w:t>
            </w:r>
          </w:p>
        </w:tc>
        <w:tc>
          <w:tcPr>
            <w:tcW w:type="dxa" w:w="1498"/>
            <w:tcMar>
              <w:top w:w="85" w:type="dxa"/>
              <w:start w:w="100" w:type="dxa"/>
              <w:bottom w:w="85" w:type="dxa"/>
              <w:end w:w="100" w:type="dxa"/>
            </w:tcMar>
            <w:vAlign w:val="center"/>
          </w:tcPr>
          <w:p>
            <w:pPr>
              <w:spacing w:after="0"/>
              <w:jc w:val="center"/>
            </w:pPr>
            <w:r>
              <w:rPr>
                <w:rFonts w:ascii="Arial" w:hAnsi="Arial"/>
                <w:color w:val="000000"/>
                <w:sz w:val="17"/>
              </w:rPr>
              <w:t>799</w:t>
            </w:r>
          </w:p>
        </w:tc>
        <w:tc>
          <w:tcPr>
            <w:tcW w:type="dxa" w:w="1498"/>
            <w:tcMar>
              <w:top w:w="85" w:type="dxa"/>
              <w:start w:w="100" w:type="dxa"/>
              <w:bottom w:w="85" w:type="dxa"/>
              <w:end w:w="100" w:type="dxa"/>
            </w:tcMar>
            <w:vAlign w:val="center"/>
          </w:tcPr>
          <w:p>
            <w:pPr>
              <w:spacing w:after="0"/>
              <w:jc w:val="center"/>
            </w:pPr>
            <w:r>
              <w:rPr>
                <w:rFonts w:ascii="Arial" w:hAnsi="Arial"/>
                <w:color w:val="000000"/>
                <w:sz w:val="17"/>
              </w:rPr>
              <w:t>949</w:t>
            </w:r>
          </w:p>
        </w:tc>
        <w:tc>
          <w:tcPr>
            <w:tcW w:type="dxa" w:w="1498"/>
            <w:tcMar>
              <w:top w:w="85" w:type="dxa"/>
              <w:start w:w="100" w:type="dxa"/>
              <w:bottom w:w="85" w:type="dxa"/>
              <w:end w:w="100" w:type="dxa"/>
            </w:tcMar>
            <w:vAlign w:val="center"/>
          </w:tcPr>
          <w:p>
            <w:pPr>
              <w:spacing w:after="0"/>
              <w:jc w:val="center"/>
            </w:pPr>
            <w:r>
              <w:rPr>
                <w:rFonts w:ascii="Arial" w:hAnsi="Arial"/>
                <w:color w:val="000000"/>
                <w:sz w:val="17"/>
              </w:rPr>
              <w:t>1,201</w:t>
            </w:r>
          </w:p>
        </w:tc>
        <w:tc>
          <w:tcPr>
            <w:tcW w:type="dxa" w:w="1498"/>
            <w:tcMar>
              <w:top w:w="85" w:type="dxa"/>
              <w:start w:w="100" w:type="dxa"/>
              <w:bottom w:w="85" w:type="dxa"/>
              <w:end w:w="100" w:type="dxa"/>
            </w:tcMar>
            <w:vAlign w:val="center"/>
          </w:tcPr>
          <w:p>
            <w:pPr>
              <w:spacing w:after="0"/>
              <w:jc w:val="center"/>
            </w:pPr>
            <w:r>
              <w:rPr>
                <w:rFonts w:ascii="Arial" w:hAnsi="Arial"/>
                <w:color w:val="000000"/>
                <w:sz w:val="17"/>
              </w:rPr>
              <w:t>1,414</w:t>
            </w:r>
          </w:p>
        </w:tc>
        <w:tc>
          <w:tcPr>
            <w:tcW w:type="dxa" w:w="1498"/>
            <w:tcMar>
              <w:top w:w="85" w:type="dxa"/>
              <w:start w:w="100" w:type="dxa"/>
              <w:bottom w:w="85" w:type="dxa"/>
              <w:end w:w="100" w:type="dxa"/>
            </w:tcMar>
            <w:vAlign w:val="center"/>
          </w:tcPr>
          <w:p>
            <w:pPr>
              <w:spacing w:after="0"/>
              <w:jc w:val="center"/>
            </w:pPr>
            <w:r>
              <w:rPr>
                <w:rFonts w:ascii="Arial" w:hAnsi="Arial"/>
                <w:color w:val="000000"/>
                <w:sz w:val="17"/>
              </w:rPr>
              <w:t>1,552</w:t>
            </w:r>
          </w:p>
        </w:tc>
      </w:tr>
      <w:tr>
        <w:trPr>
          <w:cantSplit/>
        </w:trPr>
        <w:tc>
          <w:tcPr>
            <w:tcW w:type="dxa" w:w="2448"/>
            <w:tcMar>
              <w:top w:w="85" w:type="dxa"/>
              <w:start w:w="100" w:type="dxa"/>
              <w:bottom w:w="85" w:type="dxa"/>
              <w:end w:w="100" w:type="dxa"/>
            </w:tcMar>
            <w:shd w:fill="F4F7FA"/>
            <w:vAlign w:val="center"/>
          </w:tcPr>
          <w:p>
            <w:pPr>
              <w:spacing w:after="0"/>
              <w:jc w:val="left"/>
            </w:pPr>
            <w:r>
              <w:rPr>
                <w:rFonts w:ascii="Arial" w:hAnsi="Arial"/>
                <w:color w:val="000000"/>
                <w:sz w:val="17"/>
              </w:rPr>
              <w:t>PAT margin</w:t>
            </w:r>
          </w:p>
        </w:tc>
        <w:tc>
          <w:tcPr>
            <w:tcW w:type="dxa" w:w="1498"/>
            <w:tcMar>
              <w:top w:w="85" w:type="dxa"/>
              <w:start w:w="100" w:type="dxa"/>
              <w:bottom w:w="85" w:type="dxa"/>
              <w:end w:w="100" w:type="dxa"/>
            </w:tcMar>
            <w:shd w:fill="F4F7FA"/>
            <w:vAlign w:val="center"/>
          </w:tcPr>
          <w:p>
            <w:pPr>
              <w:spacing w:after="0"/>
              <w:jc w:val="center"/>
            </w:pPr>
            <w:r>
              <w:rPr>
                <w:rFonts w:ascii="Arial" w:hAnsi="Arial"/>
                <w:color w:val="000000"/>
                <w:sz w:val="17"/>
              </w:rPr>
              <w:t>16.3%</w:t>
            </w:r>
          </w:p>
        </w:tc>
        <w:tc>
          <w:tcPr>
            <w:tcW w:type="dxa" w:w="1498"/>
            <w:tcMar>
              <w:top w:w="85" w:type="dxa"/>
              <w:start w:w="100" w:type="dxa"/>
              <w:bottom w:w="85" w:type="dxa"/>
              <w:end w:w="100" w:type="dxa"/>
            </w:tcMar>
            <w:shd w:fill="F4F7FA"/>
            <w:vAlign w:val="center"/>
          </w:tcPr>
          <w:p>
            <w:pPr>
              <w:spacing w:after="0"/>
              <w:jc w:val="center"/>
            </w:pPr>
            <w:r>
              <w:rPr>
                <w:rFonts w:ascii="Arial" w:hAnsi="Arial"/>
                <w:color w:val="000000"/>
                <w:sz w:val="17"/>
              </w:rPr>
              <w:t>17.8%</w:t>
            </w:r>
          </w:p>
        </w:tc>
        <w:tc>
          <w:tcPr>
            <w:tcW w:type="dxa" w:w="1498"/>
            <w:tcMar>
              <w:top w:w="85" w:type="dxa"/>
              <w:start w:w="100" w:type="dxa"/>
              <w:bottom w:w="85" w:type="dxa"/>
              <w:end w:w="100" w:type="dxa"/>
            </w:tcMar>
            <w:shd w:fill="F4F7FA"/>
            <w:vAlign w:val="center"/>
          </w:tcPr>
          <w:p>
            <w:pPr>
              <w:spacing w:after="0"/>
              <w:jc w:val="center"/>
            </w:pPr>
            <w:r>
              <w:rPr>
                <w:rFonts w:ascii="Arial" w:hAnsi="Arial"/>
                <w:color w:val="000000"/>
                <w:sz w:val="17"/>
              </w:rPr>
              <w:t>20.5%</w:t>
            </w:r>
          </w:p>
        </w:tc>
        <w:tc>
          <w:tcPr>
            <w:tcW w:type="dxa" w:w="1498"/>
            <w:tcMar>
              <w:top w:w="85" w:type="dxa"/>
              <w:start w:w="100" w:type="dxa"/>
              <w:bottom w:w="85" w:type="dxa"/>
              <w:end w:w="100" w:type="dxa"/>
            </w:tcMar>
            <w:shd w:fill="F4F7FA"/>
            <w:vAlign w:val="center"/>
          </w:tcPr>
          <w:p>
            <w:pPr>
              <w:spacing w:after="0"/>
              <w:jc w:val="center"/>
            </w:pPr>
            <w:r>
              <w:rPr>
                <w:rFonts w:ascii="Arial" w:hAnsi="Arial"/>
                <w:color w:val="000000"/>
                <w:sz w:val="17"/>
              </w:rPr>
              <w:t>22.1%</w:t>
            </w:r>
          </w:p>
        </w:tc>
        <w:tc>
          <w:tcPr>
            <w:tcW w:type="dxa" w:w="1498"/>
            <w:tcMar>
              <w:top w:w="85" w:type="dxa"/>
              <w:start w:w="100" w:type="dxa"/>
              <w:bottom w:w="85" w:type="dxa"/>
              <w:end w:w="100" w:type="dxa"/>
            </w:tcMar>
            <w:shd w:fill="F4F7FA"/>
            <w:vAlign w:val="center"/>
          </w:tcPr>
          <w:p>
            <w:pPr>
              <w:spacing w:after="0"/>
              <w:jc w:val="center"/>
            </w:pPr>
            <w:r>
              <w:rPr>
                <w:rFonts w:ascii="Arial" w:hAnsi="Arial"/>
                <w:color w:val="000000"/>
                <w:sz w:val="17"/>
              </w:rPr>
              <w:t>22.4%</w:t>
            </w:r>
          </w:p>
        </w:tc>
      </w:tr>
      <w:tr>
        <w:trPr>
          <w:cantSplit/>
        </w:trPr>
        <w:tc>
          <w:tcPr>
            <w:tcW w:type="dxa" w:w="2448"/>
            <w:tcMar>
              <w:top w:w="85" w:type="dxa"/>
              <w:start w:w="100" w:type="dxa"/>
              <w:bottom w:w="85" w:type="dxa"/>
              <w:end w:w="100" w:type="dxa"/>
            </w:tcMar>
            <w:vAlign w:val="center"/>
          </w:tcPr>
          <w:p>
            <w:pPr>
              <w:spacing w:after="0"/>
              <w:jc w:val="left"/>
            </w:pPr>
            <w:r>
              <w:rPr>
                <w:rFonts w:ascii="Arial" w:hAnsi="Arial"/>
                <w:color w:val="000000"/>
                <w:sz w:val="17"/>
              </w:rPr>
              <w:t>Operating cash flow</w:t>
            </w:r>
          </w:p>
        </w:tc>
        <w:tc>
          <w:tcPr>
            <w:tcW w:type="dxa" w:w="1498"/>
            <w:tcMar>
              <w:top w:w="85" w:type="dxa"/>
              <w:start w:w="100" w:type="dxa"/>
              <w:bottom w:w="85" w:type="dxa"/>
              <w:end w:w="100" w:type="dxa"/>
            </w:tcMar>
            <w:vAlign w:val="center"/>
          </w:tcPr>
          <w:p>
            <w:pPr>
              <w:spacing w:after="0"/>
              <w:jc w:val="center"/>
            </w:pPr>
            <w:r>
              <w:rPr>
                <w:rFonts w:ascii="Arial" w:hAnsi="Arial"/>
                <w:color w:val="000000"/>
                <w:sz w:val="17"/>
              </w:rPr>
              <w:t>948</w:t>
            </w:r>
          </w:p>
        </w:tc>
        <w:tc>
          <w:tcPr>
            <w:tcW w:type="dxa" w:w="1498"/>
            <w:tcMar>
              <w:top w:w="85" w:type="dxa"/>
              <w:start w:w="100" w:type="dxa"/>
              <w:bottom w:w="85" w:type="dxa"/>
              <w:end w:w="100" w:type="dxa"/>
            </w:tcMar>
            <w:vAlign w:val="center"/>
          </w:tcPr>
          <w:p>
            <w:pPr>
              <w:spacing w:after="0"/>
              <w:jc w:val="center"/>
            </w:pPr>
            <w:r>
              <w:rPr>
                <w:rFonts w:ascii="Arial" w:hAnsi="Arial"/>
                <w:color w:val="000000"/>
                <w:sz w:val="17"/>
              </w:rPr>
              <w:t>893</w:t>
            </w:r>
          </w:p>
        </w:tc>
        <w:tc>
          <w:tcPr>
            <w:tcW w:type="dxa" w:w="1498"/>
            <w:tcMar>
              <w:top w:w="85" w:type="dxa"/>
              <w:start w:w="100" w:type="dxa"/>
              <w:bottom w:w="85" w:type="dxa"/>
              <w:end w:w="100" w:type="dxa"/>
            </w:tcMar>
            <w:vAlign w:val="center"/>
          </w:tcPr>
          <w:p>
            <w:pPr>
              <w:spacing w:after="0"/>
              <w:jc w:val="center"/>
            </w:pPr>
            <w:r>
              <w:rPr>
                <w:rFonts w:ascii="Arial" w:hAnsi="Arial"/>
                <w:color w:val="000000"/>
                <w:sz w:val="17"/>
              </w:rPr>
              <w:t>1,213</w:t>
            </w:r>
          </w:p>
        </w:tc>
        <w:tc>
          <w:tcPr>
            <w:tcW w:type="dxa" w:w="1498"/>
            <w:tcMar>
              <w:top w:w="85" w:type="dxa"/>
              <w:start w:w="100" w:type="dxa"/>
              <w:bottom w:w="85" w:type="dxa"/>
              <w:end w:w="100" w:type="dxa"/>
            </w:tcMar>
            <w:vAlign w:val="center"/>
          </w:tcPr>
          <w:p>
            <w:pPr>
              <w:spacing w:after="0"/>
              <w:jc w:val="center"/>
            </w:pPr>
            <w:r>
              <w:rPr>
                <w:rFonts w:ascii="Arial" w:hAnsi="Arial"/>
                <w:color w:val="000000"/>
                <w:sz w:val="17"/>
              </w:rPr>
              <w:t>1,024</w:t>
            </w:r>
          </w:p>
        </w:tc>
        <w:tc>
          <w:tcPr>
            <w:tcW w:type="dxa" w:w="1498"/>
            <w:tcMar>
              <w:top w:w="85" w:type="dxa"/>
              <w:start w:w="100" w:type="dxa"/>
              <w:bottom w:w="85" w:type="dxa"/>
              <w:end w:w="100" w:type="dxa"/>
            </w:tcMar>
            <w:vAlign w:val="center"/>
          </w:tcPr>
          <w:p>
            <w:pPr>
              <w:spacing w:after="0"/>
              <w:jc w:val="center"/>
            </w:pPr>
            <w:r>
              <w:rPr>
                <w:rFonts w:ascii="Arial" w:hAnsi="Arial"/>
                <w:color w:val="000000"/>
                <w:sz w:val="17"/>
              </w:rPr>
              <w:t>1,319</w:t>
            </w:r>
          </w:p>
        </w:tc>
      </w:tr>
      <w:tr>
        <w:trPr>
          <w:cantSplit/>
        </w:trPr>
        <w:tc>
          <w:tcPr>
            <w:tcW w:type="dxa" w:w="2448"/>
            <w:tcMar>
              <w:top w:w="85" w:type="dxa"/>
              <w:start w:w="100" w:type="dxa"/>
              <w:bottom w:w="85" w:type="dxa"/>
              <w:end w:w="100" w:type="dxa"/>
            </w:tcMar>
            <w:shd w:fill="F4F7FA"/>
            <w:vAlign w:val="center"/>
          </w:tcPr>
          <w:p>
            <w:pPr>
              <w:spacing w:after="0"/>
              <w:jc w:val="left"/>
            </w:pPr>
            <w:r>
              <w:rPr>
                <w:rFonts w:ascii="Arial" w:hAnsi="Arial"/>
                <w:color w:val="000000"/>
                <w:sz w:val="17"/>
              </w:rPr>
              <w:t>Operating cash flow margin</w:t>
            </w:r>
          </w:p>
        </w:tc>
        <w:tc>
          <w:tcPr>
            <w:tcW w:type="dxa" w:w="1498"/>
            <w:tcMar>
              <w:top w:w="85" w:type="dxa"/>
              <w:start w:w="100" w:type="dxa"/>
              <w:bottom w:w="85" w:type="dxa"/>
              <w:end w:w="100" w:type="dxa"/>
            </w:tcMar>
            <w:shd w:fill="F4F7FA"/>
            <w:vAlign w:val="center"/>
          </w:tcPr>
          <w:p>
            <w:pPr>
              <w:spacing w:after="0"/>
              <w:jc w:val="center"/>
            </w:pPr>
            <w:r>
              <w:rPr>
                <w:rFonts w:ascii="Arial" w:hAnsi="Arial"/>
                <w:color w:val="000000"/>
                <w:sz w:val="17"/>
              </w:rPr>
              <w:t>19.3%</w:t>
            </w:r>
          </w:p>
        </w:tc>
        <w:tc>
          <w:tcPr>
            <w:tcW w:type="dxa" w:w="1498"/>
            <w:tcMar>
              <w:top w:w="85" w:type="dxa"/>
              <w:start w:w="100" w:type="dxa"/>
              <w:bottom w:w="85" w:type="dxa"/>
              <w:end w:w="100" w:type="dxa"/>
            </w:tcMar>
            <w:shd w:fill="F4F7FA"/>
            <w:vAlign w:val="center"/>
          </w:tcPr>
          <w:p>
            <w:pPr>
              <w:spacing w:after="0"/>
              <w:jc w:val="center"/>
            </w:pPr>
            <w:r>
              <w:rPr>
                <w:rFonts w:ascii="Arial" w:hAnsi="Arial"/>
                <w:color w:val="000000"/>
                <w:sz w:val="17"/>
              </w:rPr>
              <w:t>16.7%</w:t>
            </w:r>
          </w:p>
        </w:tc>
        <w:tc>
          <w:tcPr>
            <w:tcW w:type="dxa" w:w="1498"/>
            <w:tcMar>
              <w:top w:w="85" w:type="dxa"/>
              <w:start w:w="100" w:type="dxa"/>
              <w:bottom w:w="85" w:type="dxa"/>
              <w:end w:w="100" w:type="dxa"/>
            </w:tcMar>
            <w:shd w:fill="F4F7FA"/>
            <w:vAlign w:val="center"/>
          </w:tcPr>
          <w:p>
            <w:pPr>
              <w:spacing w:after="0"/>
              <w:jc w:val="center"/>
            </w:pPr>
            <w:r>
              <w:rPr>
                <w:rFonts w:ascii="Arial" w:hAnsi="Arial"/>
                <w:color w:val="000000"/>
                <w:sz w:val="17"/>
              </w:rPr>
              <w:t>20.7%</w:t>
            </w:r>
          </w:p>
        </w:tc>
        <w:tc>
          <w:tcPr>
            <w:tcW w:type="dxa" w:w="1498"/>
            <w:tcMar>
              <w:top w:w="85" w:type="dxa"/>
              <w:start w:w="100" w:type="dxa"/>
              <w:bottom w:w="85" w:type="dxa"/>
              <w:end w:w="100" w:type="dxa"/>
            </w:tcMar>
            <w:shd w:fill="F4F7FA"/>
            <w:vAlign w:val="center"/>
          </w:tcPr>
          <w:p>
            <w:pPr>
              <w:spacing w:after="0"/>
              <w:jc w:val="center"/>
            </w:pPr>
            <w:r>
              <w:rPr>
                <w:rFonts w:ascii="Arial" w:hAnsi="Arial"/>
                <w:color w:val="000000"/>
                <w:sz w:val="17"/>
              </w:rPr>
              <w:t>16.0%</w:t>
            </w:r>
          </w:p>
        </w:tc>
        <w:tc>
          <w:tcPr>
            <w:tcW w:type="dxa" w:w="1498"/>
            <w:tcMar>
              <w:top w:w="85" w:type="dxa"/>
              <w:start w:w="100" w:type="dxa"/>
              <w:bottom w:w="85" w:type="dxa"/>
              <w:end w:w="100" w:type="dxa"/>
            </w:tcMar>
            <w:shd w:fill="F4F7FA"/>
            <w:vAlign w:val="center"/>
          </w:tcPr>
          <w:p>
            <w:pPr>
              <w:spacing w:after="0"/>
              <w:jc w:val="center"/>
            </w:pPr>
            <w:r>
              <w:rPr>
                <w:rFonts w:ascii="Arial" w:hAnsi="Arial"/>
                <w:color w:val="000000"/>
                <w:sz w:val="17"/>
              </w:rPr>
              <w:t>19.0%</w:t>
            </w:r>
          </w:p>
        </w:tc>
      </w:tr>
    </w:tbl>
    <w:p>
      <w:pPr>
        <w:spacing w:after="20"/>
      </w:pPr>
    </w:p>
    <w:p>
      <w:pPr>
        <w:pStyle w:val="SourceNote"/>
      </w:pPr>
      <w:r>
        <w:t>Source Abbott India Annual Report FY26. EBITDA is company-defined. FY26 reported product and service economics are consolidated across the single pharmaceuticals segment.</w:t>
      </w:r>
    </w:p>
    <w:p>
      <w:pPr>
        <w:pStyle w:val="Heading1"/>
      </w:pPr>
      <w:r>
        <w:rPr>
          <w:rFonts w:ascii="Arial" w:hAnsi="Arial"/>
          <w:b/>
          <w:color w:val="000000"/>
          <w:sz w:val="32"/>
        </w:rPr>
        <w:t>Balance sheet and capital allocation</w:t>
      </w:r>
    </w:p>
    <w:p>
      <w:pPr>
        <w:keepLines w:val="0"/>
      </w:pPr>
      <w:r>
        <w:rPr>
          <w:rFonts w:ascii="Arial" w:hAnsi="Arial"/>
          <w:color w:val="000000"/>
          <w:sz w:val="21"/>
        </w:rPr>
        <w:t>The balance sheet carries excess liquidity rather than operating leverage. At March 2026, cash and cash equivalents were ₹442 crore, current bank deposits ₹1,813 crore and deposits with more than twelve months remaining ₹2,178 crore. Against ₹172 crore of lease liabilities, net cash-like resources were about ₹4,261 crore before other obligations. That buffer lowers financial risk but also suppresses reported return metrics if investors treat the deposits as surplus capital.</w:t>
      </w:r>
      <w:r>
        <w:rPr>
          <w:rFonts w:ascii="Arial" w:hAnsi="Arial"/>
          <w:color w:val="595959"/>
          <w:sz w:val="15"/>
          <w:vertAlign w:val="superscript"/>
        </w:rPr>
        <w:t xml:space="preserve"> [1]</w:t>
      </w:r>
    </w:p>
    <w:p>
      <w:pPr>
        <w:keepLines w:val="0"/>
      </w:pPr>
      <w:r>
        <w:rPr>
          <w:rFonts w:ascii="Arial" w:hAnsi="Arial"/>
          <w:color w:val="000000"/>
          <w:sz w:val="21"/>
        </w:rPr>
        <w:t>Capital allocation favors dividends. FY26 dividend was ₹656 per share, including a ₹131 special dividend, equivalent to about ₹1,394 crore and approximately 90% of PAT. Promoter entities receive three quarters of the distribution through their 74.99% holding. The company can still fund launches internally because the asset base and internal R and D are small. The harder investor question is whether Abbott will use the balance sheet for material acquisitions or continue to return most earnings while using licensing partnerships for portfolio renewal.</w:t>
      </w:r>
      <w:r>
        <w:rPr>
          <w:rFonts w:ascii="Arial" w:hAnsi="Arial"/>
          <w:color w:val="595959"/>
          <w:sz w:val="15"/>
          <w:vertAlign w:val="superscript"/>
        </w:rPr>
        <w:t xml:space="preserve"> [1]</w:t>
      </w:r>
    </w:p>
    <w:p>
      <w:pPr>
        <w:keepLines w:val="0"/>
      </w:pPr>
      <w:r>
        <w:rPr>
          <w:rFonts w:ascii="Arial" w:hAnsi="Arial"/>
          <w:color w:val="000000"/>
          <w:sz w:val="21"/>
        </w:rPr>
        <w:t>Local R and D expense was only ₹6.27 crore, or 0.09% of turnover. Abbott India’s scientific work is concentrated in registration, evidence generation, publications and medical engagement rather than molecule discovery. This explains both the high margin and the dependence on global Abbott or external partners for new assets. It also means a pipeline should be valued on confirmed commercialization rights and launch readiness, not on global clinical activity alone.</w:t>
      </w:r>
      <w:r>
        <w:rPr>
          <w:rFonts w:ascii="Arial" w:hAnsi="Arial"/>
          <w:color w:val="595959"/>
          <w:sz w:val="15"/>
          <w:vertAlign w:val="superscript"/>
        </w:rPr>
        <w:t xml:space="preserve"> [1]</w:t>
      </w:r>
    </w:p>
    <w:p>
      <w:pPr>
        <w:pStyle w:val="Heading1"/>
      </w:pPr>
      <w:r>
        <w:rPr>
          <w:rFonts w:ascii="Arial" w:hAnsi="Arial"/>
          <w:b/>
          <w:color w:val="000000"/>
          <w:sz w:val="32"/>
        </w:rPr>
        <w:t>Current trading and market evidence</w:t>
      </w:r>
    </w:p>
    <w:p>
      <w:pPr>
        <w:keepLines w:val="0"/>
      </w:pPr>
      <w:r>
        <w:rPr>
          <w:rFonts w:ascii="Arial" w:hAnsi="Arial"/>
          <w:color w:val="000000"/>
          <w:sz w:val="21"/>
        </w:rPr>
        <w:t>The uploaded market workbook shows Abbott India maintaining the best growth profile among the three listed multinational peers through August 2026. Vendor-reported TTM growth was 13.1% versus 12.3% for the IPM, and YTD growth was 15.0% versus 13.0%. August growth slowed to 10.8% versus 13.0% for the market. The workbook flags that the YTD growth does not fully reconcile to monthly sales, so reported vendor growth should remain the headline metric and the recomputation should be used only as a diagnostic.</w:t>
      </w:r>
      <w:r>
        <w:rPr>
          <w:rFonts w:ascii="Arial" w:hAnsi="Arial"/>
          <w:color w:val="595959"/>
          <w:sz w:val="15"/>
          <w:vertAlign w:val="superscript"/>
        </w:rPr>
        <w:t xml:space="preserve"> [3]</w:t>
      </w:r>
    </w:p>
    <w:p>
      <w:pPr>
        <w:keepLines w:val="0"/>
      </w:pPr>
      <w:r>
        <w:rPr>
          <w:rFonts w:ascii="Arial" w:hAnsi="Arial"/>
          <w:color w:val="000000"/>
          <w:sz w:val="21"/>
        </w:rPr>
        <w:t>The same workbook confirms the importance of clean mapping. Its verified Abbott India subset includes Thyronorm, Cremaffin Plus, Digene and Cremaffin, all with positive TTM growth. It excludes major Novo brands and Similac because listed-company economics were not verified. The subset is incomplete and should not be treated as a revenue reconciliation. It is still useful for direction: Thyronorm remains the largest verified brand, while Cremaffin Plus contributed the fastest growth among the clean disclosed names.</w:t>
      </w:r>
      <w:r>
        <w:rPr>
          <w:rFonts w:ascii="Arial" w:hAnsi="Arial"/>
          <w:color w:val="595959"/>
          <w:sz w:val="15"/>
          <w:vertAlign w:val="superscript"/>
        </w:rPr>
        <w:t xml:space="preserve"> [3]</w:t>
      </w:r>
    </w:p>
    <w:p>
      <w:pPr>
        <w:pStyle w:val="Heading1"/>
      </w:pPr>
      <w:r>
        <w:rPr>
          <w:rFonts w:ascii="Arial" w:hAnsi="Arial"/>
          <w:b/>
          <w:color w:val="000000"/>
          <w:sz w:val="32"/>
        </w:rPr>
        <w:t>What can drive the next five years</w:t>
      </w:r>
    </w:p>
    <w:p>
      <w:pPr>
        <w:keepLines w:val="0"/>
      </w:pPr>
      <w:r>
        <w:rPr>
          <w:rFonts w:ascii="Arial" w:hAnsi="Arial"/>
          <w:color w:val="000000"/>
          <w:sz w:val="21"/>
        </w:rPr>
        <w:t>Legacy brand compounding remains the base case. Diagnosis, treatment duration, geographic expansion and lifecycle management can keep Thyronorm, Udiliv, Vertin, Arachitol and the GI portfolio growing without large capital requirements. The market does not need every brand to grow at double digits. A stable high-single-digit legacy base, combined with a handful of faster launches, can support company growth near or above the IPM.</w:t>
      </w:r>
    </w:p>
    <w:p>
      <w:pPr>
        <w:keepLines w:val="0"/>
      </w:pPr>
      <w:r>
        <w:rPr>
          <w:rFonts w:ascii="Arial" w:hAnsi="Arial"/>
          <w:color w:val="000000"/>
          <w:sz w:val="21"/>
        </w:rPr>
        <w:t>GI innovation offers the most controllable growth. Abbott owns the physician relationships and can extend brands into adjacent formulations and patient occasions. Digene Insta On The Go, Duphalac Rapid, Ezybixy, Digeraft and Vonefi show the playbook. These launches carry lower clinical risk than novel molecules and can reuse existing sales infrastructure.</w:t>
      </w:r>
    </w:p>
    <w:p>
      <w:pPr>
        <w:keepLines w:val="0"/>
      </w:pPr>
      <w:r>
        <w:rPr>
          <w:rFonts w:ascii="Arial" w:hAnsi="Arial"/>
          <w:color w:val="000000"/>
          <w:sz w:val="21"/>
        </w:rPr>
        <w:t>Extensior offers the largest near-term revenue pool but also the widest outcome range. The molecule has proven demand, the originator has clinical credibility and Abbott has broad reach. Yet price competition after patent expiry, the absence of disclosed partner economics, and the need to distinguish sales from retained gross profit all constrain the earnings read-through. Extensior should be forecast through patient starts, persistence, price and Abbott’s retained margin rather than by applying a market-share assumption directly to reported sales.</w:t>
      </w:r>
    </w:p>
    <w:p>
      <w:pPr>
        <w:keepLines w:val="0"/>
      </w:pPr>
      <w:r>
        <w:rPr>
          <w:rFonts w:ascii="Arial" w:hAnsi="Arial"/>
          <w:color w:val="000000"/>
          <w:sz w:val="21"/>
        </w:rPr>
        <w:t>Vaccines and women’s health require portfolio breadth. Influvac alone is exposed to seasonality and formulation shifts. Duphaston alone is exposed to generic pricing. New vaccine assets, menopause and fertility products can stabilize those franchises, but economics should be added only when Abbott India discloses ownership or commercialization rights.</w:t>
      </w:r>
    </w:p>
    <w:p>
      <w:pPr>
        <w:pStyle w:val="Heading1"/>
      </w:pPr>
      <w:r>
        <w:rPr>
          <w:rFonts w:ascii="Arial" w:hAnsi="Arial"/>
          <w:b/>
          <w:color w:val="000000"/>
          <w:sz w:val="32"/>
        </w:rPr>
        <w:t>The main risks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1656"/>
            <w:shd w:fill="17324D"/>
            <w:tcMar>
              <w:top w:w="95" w:type="dxa"/>
              <w:start w:w="100" w:type="dxa"/>
              <w:bottom w:w="95" w:type="dxa"/>
              <w:end w:w="100" w:type="dxa"/>
            </w:tcMar>
            <w:vAlign w:val="center"/>
          </w:tcPr>
          <w:p>
            <w:pPr>
              <w:spacing w:after="0"/>
              <w:jc w:val="center"/>
            </w:pPr>
            <w:r>
              <w:rPr>
                <w:rFonts w:ascii="Arial" w:hAnsi="Arial"/>
                <w:b/>
                <w:color w:val="FFFFFF"/>
                <w:sz w:val="16"/>
              </w:rPr>
              <w:t>Risk</w:t>
            </w:r>
          </w:p>
        </w:tc>
        <w:tc>
          <w:tcPr>
            <w:tcW w:type="dxa" w:w="4392"/>
            <w:shd w:fill="17324D"/>
            <w:tcMar>
              <w:top w:w="95" w:type="dxa"/>
              <w:start w:w="100" w:type="dxa"/>
              <w:bottom w:w="95" w:type="dxa"/>
              <w:end w:w="100" w:type="dxa"/>
            </w:tcMar>
            <w:vAlign w:val="center"/>
          </w:tcPr>
          <w:p>
            <w:pPr>
              <w:spacing w:after="0"/>
              <w:jc w:val="center"/>
            </w:pPr>
            <w:r>
              <w:rPr>
                <w:rFonts w:ascii="Arial" w:hAnsi="Arial"/>
                <w:b/>
                <w:color w:val="FFFFFF"/>
                <w:sz w:val="16"/>
              </w:rPr>
              <w:t>Transmission into earnings</w:t>
            </w:r>
          </w:p>
        </w:tc>
        <w:tc>
          <w:tcPr>
            <w:tcW w:type="dxa" w:w="3888"/>
            <w:shd w:fill="17324D"/>
            <w:tcMar>
              <w:top w:w="95" w:type="dxa"/>
              <w:start w:w="100" w:type="dxa"/>
              <w:bottom w:w="95" w:type="dxa"/>
              <w:end w:w="100" w:type="dxa"/>
            </w:tcMar>
            <w:vAlign w:val="center"/>
          </w:tcPr>
          <w:p>
            <w:pPr>
              <w:spacing w:after="0"/>
              <w:jc w:val="center"/>
            </w:pPr>
            <w:r>
              <w:rPr>
                <w:rFonts w:ascii="Arial" w:hAnsi="Arial"/>
                <w:b/>
                <w:color w:val="FFFFFF"/>
                <w:sz w:val="16"/>
              </w:rPr>
              <w:t>What to monitor</w:t>
            </w:r>
          </w:p>
        </w:tc>
      </w:tr>
      <w:tr>
        <w:trPr>
          <w:cantSplit/>
        </w:trPr>
        <w:tc>
          <w:tcPr>
            <w:tcW w:type="dxa" w:w="1656"/>
            <w:tcMar>
              <w:top w:w="85" w:type="dxa"/>
              <w:start w:w="100" w:type="dxa"/>
              <w:bottom w:w="85" w:type="dxa"/>
              <w:end w:w="100" w:type="dxa"/>
            </w:tcMar>
            <w:vAlign w:val="center"/>
          </w:tcPr>
          <w:p>
            <w:pPr>
              <w:spacing w:after="0"/>
              <w:jc w:val="left"/>
            </w:pPr>
            <w:r>
              <w:rPr>
                <w:rFonts w:ascii="Arial" w:hAnsi="Arial"/>
                <w:color w:val="000000"/>
                <w:sz w:val="15"/>
              </w:rPr>
              <w:t>Price controls</w:t>
            </w:r>
          </w:p>
        </w:tc>
        <w:tc>
          <w:tcPr>
            <w:tcW w:type="dxa" w:w="4392"/>
            <w:tcMar>
              <w:top w:w="85" w:type="dxa"/>
              <w:start w:w="100" w:type="dxa"/>
              <w:bottom w:w="85" w:type="dxa"/>
              <w:end w:w="100" w:type="dxa"/>
            </w:tcMar>
            <w:vAlign w:val="center"/>
          </w:tcPr>
          <w:p>
            <w:pPr>
              <w:spacing w:after="0"/>
              <w:jc w:val="left"/>
            </w:pPr>
            <w:r>
              <w:rPr>
                <w:rFonts w:ascii="Arial" w:hAnsi="Arial"/>
                <w:color w:val="000000"/>
                <w:sz w:val="15"/>
              </w:rPr>
              <w:t>Ceiling-price resets reduce price growth and can compress gross margin if input inflation is not recovered.</w:t>
            </w:r>
          </w:p>
        </w:tc>
        <w:tc>
          <w:tcPr>
            <w:tcW w:type="dxa" w:w="3888"/>
            <w:tcMar>
              <w:top w:w="85" w:type="dxa"/>
              <w:start w:w="100" w:type="dxa"/>
              <w:bottom w:w="85" w:type="dxa"/>
              <w:end w:w="100" w:type="dxa"/>
            </w:tcMar>
            <w:vAlign w:val="center"/>
          </w:tcPr>
          <w:p>
            <w:pPr>
              <w:spacing w:after="0"/>
              <w:jc w:val="left"/>
            </w:pPr>
            <w:r>
              <w:rPr>
                <w:rFonts w:ascii="Arial" w:hAnsi="Arial"/>
                <w:color w:val="000000"/>
                <w:sz w:val="15"/>
              </w:rPr>
              <w:t>NLEM additions, NPPA orders, share of scheduled formulations and annual WPI revisions.</w:t>
            </w:r>
          </w:p>
        </w:tc>
      </w:tr>
      <w:tr>
        <w:trPr>
          <w:cantSplit/>
        </w:trPr>
        <w:tc>
          <w:tcPr>
            <w:tcW w:type="dxa" w:w="1656"/>
            <w:tcMar>
              <w:top w:w="85" w:type="dxa"/>
              <w:start w:w="100" w:type="dxa"/>
              <w:bottom w:w="85" w:type="dxa"/>
              <w:end w:w="100" w:type="dxa"/>
            </w:tcMar>
            <w:shd w:fill="F4F7FA"/>
            <w:vAlign w:val="center"/>
          </w:tcPr>
          <w:p>
            <w:pPr>
              <w:spacing w:after="0"/>
              <w:jc w:val="left"/>
            </w:pPr>
            <w:r>
              <w:rPr>
                <w:rFonts w:ascii="Arial" w:hAnsi="Arial"/>
                <w:color w:val="000000"/>
                <w:sz w:val="15"/>
              </w:rPr>
              <w:t>Generic erosion</w:t>
            </w:r>
          </w:p>
        </w:tc>
        <w:tc>
          <w:tcPr>
            <w:tcW w:type="dxa" w:w="4392"/>
            <w:tcMar>
              <w:top w:w="85" w:type="dxa"/>
              <w:start w:w="100" w:type="dxa"/>
              <w:bottom w:w="85" w:type="dxa"/>
              <w:end w:w="100" w:type="dxa"/>
            </w:tcMar>
            <w:shd w:fill="F4F7FA"/>
            <w:vAlign w:val="center"/>
          </w:tcPr>
          <w:p>
            <w:pPr>
              <w:spacing w:after="0"/>
              <w:jc w:val="left"/>
            </w:pPr>
            <w:r>
              <w:rPr>
                <w:rFonts w:ascii="Arial" w:hAnsi="Arial"/>
                <w:color w:val="000000"/>
                <w:sz w:val="15"/>
              </w:rPr>
              <w:t>Lower-priced entrants fragment prescriptions in off-patent molecules such as dydrogesterone.</w:t>
            </w:r>
          </w:p>
        </w:tc>
        <w:tc>
          <w:tcPr>
            <w:tcW w:type="dxa" w:w="3888"/>
            <w:tcMar>
              <w:top w:w="85" w:type="dxa"/>
              <w:start w:w="100" w:type="dxa"/>
              <w:bottom w:w="85" w:type="dxa"/>
              <w:end w:w="100" w:type="dxa"/>
            </w:tcMar>
            <w:shd w:fill="F4F7FA"/>
            <w:vAlign w:val="center"/>
          </w:tcPr>
          <w:p>
            <w:pPr>
              <w:spacing w:after="0"/>
              <w:jc w:val="left"/>
            </w:pPr>
            <w:r>
              <w:rPr>
                <w:rFonts w:ascii="Arial" w:hAnsi="Arial"/>
                <w:color w:val="000000"/>
                <w:sz w:val="15"/>
              </w:rPr>
              <w:t>Brand growth, volume-price split, doctor share and promotion intensity.</w:t>
            </w:r>
          </w:p>
        </w:tc>
      </w:tr>
      <w:tr>
        <w:trPr>
          <w:cantSplit/>
        </w:trPr>
        <w:tc>
          <w:tcPr>
            <w:tcW w:type="dxa" w:w="1656"/>
            <w:tcMar>
              <w:top w:w="85" w:type="dxa"/>
              <w:start w:w="100" w:type="dxa"/>
              <w:bottom w:w="85" w:type="dxa"/>
              <w:end w:w="100" w:type="dxa"/>
            </w:tcMar>
            <w:vAlign w:val="center"/>
          </w:tcPr>
          <w:p>
            <w:pPr>
              <w:spacing w:after="0"/>
              <w:jc w:val="left"/>
            </w:pPr>
            <w:r>
              <w:rPr>
                <w:rFonts w:ascii="Arial" w:hAnsi="Arial"/>
                <w:color w:val="000000"/>
                <w:sz w:val="15"/>
              </w:rPr>
              <w:t>Partner economics</w:t>
            </w:r>
          </w:p>
        </w:tc>
        <w:tc>
          <w:tcPr>
            <w:tcW w:type="dxa" w:w="4392"/>
            <w:tcMar>
              <w:top w:w="85" w:type="dxa"/>
              <w:start w:w="100" w:type="dxa"/>
              <w:bottom w:w="85" w:type="dxa"/>
              <w:end w:w="100" w:type="dxa"/>
            </w:tcMar>
            <w:vAlign w:val="center"/>
          </w:tcPr>
          <w:p>
            <w:pPr>
              <w:spacing w:after="0"/>
              <w:jc w:val="left"/>
            </w:pPr>
            <w:r>
              <w:rPr>
                <w:rFonts w:ascii="Arial" w:hAnsi="Arial"/>
                <w:color w:val="000000"/>
                <w:sz w:val="15"/>
              </w:rPr>
              <w:t>A high-revenue launch can dilute consolidated gross margin if transfer price or revenue share is high.</w:t>
            </w:r>
          </w:p>
        </w:tc>
        <w:tc>
          <w:tcPr>
            <w:tcW w:type="dxa" w:w="3888"/>
            <w:tcMar>
              <w:top w:w="85" w:type="dxa"/>
              <w:start w:w="100" w:type="dxa"/>
              <w:bottom w:w="85" w:type="dxa"/>
              <w:end w:w="100" w:type="dxa"/>
            </w:tcMar>
            <w:vAlign w:val="center"/>
          </w:tcPr>
          <w:p>
            <w:pPr>
              <w:spacing w:after="0"/>
              <w:jc w:val="left"/>
            </w:pPr>
            <w:r>
              <w:rPr>
                <w:rFonts w:ascii="Arial" w:hAnsi="Arial"/>
                <w:color w:val="000000"/>
                <w:sz w:val="15"/>
              </w:rPr>
              <w:t>Extensior gross margin, inventory days, payables and management commentary on mix.</w:t>
            </w:r>
          </w:p>
        </w:tc>
      </w:tr>
      <w:tr>
        <w:trPr>
          <w:cantSplit/>
        </w:trPr>
        <w:tc>
          <w:tcPr>
            <w:tcW w:type="dxa" w:w="1656"/>
            <w:tcMar>
              <w:top w:w="85" w:type="dxa"/>
              <w:start w:w="100" w:type="dxa"/>
              <w:bottom w:w="85" w:type="dxa"/>
              <w:end w:w="100" w:type="dxa"/>
            </w:tcMar>
            <w:shd w:fill="F4F7FA"/>
            <w:vAlign w:val="center"/>
          </w:tcPr>
          <w:p>
            <w:pPr>
              <w:spacing w:after="0"/>
              <w:jc w:val="left"/>
            </w:pPr>
            <w:r>
              <w:rPr>
                <w:rFonts w:ascii="Arial" w:hAnsi="Arial"/>
                <w:color w:val="000000"/>
                <w:sz w:val="15"/>
              </w:rPr>
              <w:t>Entity leakage</w:t>
            </w:r>
          </w:p>
        </w:tc>
        <w:tc>
          <w:tcPr>
            <w:tcW w:type="dxa" w:w="4392"/>
            <w:tcMar>
              <w:top w:w="85" w:type="dxa"/>
              <w:start w:w="100" w:type="dxa"/>
              <w:bottom w:w="85" w:type="dxa"/>
              <w:end w:w="100" w:type="dxa"/>
            </w:tcMar>
            <w:shd w:fill="F4F7FA"/>
            <w:vAlign w:val="center"/>
          </w:tcPr>
          <w:p>
            <w:pPr>
              <w:spacing w:after="0"/>
              <w:jc w:val="left"/>
            </w:pPr>
            <w:r>
              <w:rPr>
                <w:rFonts w:ascii="Arial" w:hAnsi="Arial"/>
                <w:color w:val="000000"/>
                <w:sz w:val="15"/>
              </w:rPr>
              <w:t>Attributing group or distributor-bucket products to the listed company overstates revenue and growth.</w:t>
            </w:r>
          </w:p>
        </w:tc>
        <w:tc>
          <w:tcPr>
            <w:tcW w:type="dxa" w:w="3888"/>
            <w:tcMar>
              <w:top w:w="85" w:type="dxa"/>
              <w:start w:w="100" w:type="dxa"/>
              <w:bottom w:w="85" w:type="dxa"/>
              <w:end w:w="100" w:type="dxa"/>
            </w:tcMar>
            <w:shd w:fill="F4F7FA"/>
            <w:vAlign w:val="center"/>
          </w:tcPr>
          <w:p>
            <w:pPr>
              <w:spacing w:after="0"/>
              <w:jc w:val="left"/>
            </w:pPr>
            <w:r>
              <w:rPr>
                <w:rFonts w:ascii="Arial" w:hAnsi="Arial"/>
                <w:color w:val="000000"/>
                <w:sz w:val="15"/>
              </w:rPr>
              <w:t>Annual-report brand disclosures, RPTs, product labels and commercialization agreements.</w:t>
            </w:r>
          </w:p>
        </w:tc>
      </w:tr>
      <w:tr>
        <w:trPr>
          <w:cantSplit/>
        </w:trPr>
        <w:tc>
          <w:tcPr>
            <w:tcW w:type="dxa" w:w="1656"/>
            <w:tcMar>
              <w:top w:w="85" w:type="dxa"/>
              <w:start w:w="100" w:type="dxa"/>
              <w:bottom w:w="85" w:type="dxa"/>
              <w:end w:w="100" w:type="dxa"/>
            </w:tcMar>
            <w:vAlign w:val="center"/>
          </w:tcPr>
          <w:p>
            <w:pPr>
              <w:spacing w:after="0"/>
              <w:jc w:val="left"/>
            </w:pPr>
            <w:r>
              <w:rPr>
                <w:rFonts w:ascii="Arial" w:hAnsi="Arial"/>
                <w:color w:val="000000"/>
                <w:sz w:val="15"/>
              </w:rPr>
              <w:t>Portfolio maturity</w:t>
            </w:r>
          </w:p>
        </w:tc>
        <w:tc>
          <w:tcPr>
            <w:tcW w:type="dxa" w:w="4392"/>
            <w:tcMar>
              <w:top w:w="85" w:type="dxa"/>
              <w:start w:w="100" w:type="dxa"/>
              <w:bottom w:w="85" w:type="dxa"/>
              <w:end w:w="100" w:type="dxa"/>
            </w:tcMar>
            <w:vAlign w:val="center"/>
          </w:tcPr>
          <w:p>
            <w:pPr>
              <w:spacing w:after="0"/>
              <w:jc w:val="left"/>
            </w:pPr>
            <w:r>
              <w:rPr>
                <w:rFonts w:ascii="Arial" w:hAnsi="Arial"/>
                <w:color w:val="000000"/>
                <w:sz w:val="15"/>
              </w:rPr>
              <w:t>Large brands can outgrow the market for years, but incremental penetration eventually slows.</w:t>
            </w:r>
          </w:p>
        </w:tc>
        <w:tc>
          <w:tcPr>
            <w:tcW w:type="dxa" w:w="3888"/>
            <w:tcMar>
              <w:top w:w="85" w:type="dxa"/>
              <w:start w:w="100" w:type="dxa"/>
              <w:bottom w:w="85" w:type="dxa"/>
              <w:end w:w="100" w:type="dxa"/>
            </w:tcMar>
            <w:vAlign w:val="center"/>
          </w:tcPr>
          <w:p>
            <w:pPr>
              <w:spacing w:after="0"/>
              <w:jc w:val="left"/>
            </w:pPr>
            <w:r>
              <w:rPr>
                <w:rFonts w:ascii="Arial" w:hAnsi="Arial"/>
                <w:color w:val="000000"/>
                <w:sz w:val="15"/>
              </w:rPr>
              <w:t>Top-brand growth, launch contribution and number of brands crossing ₹100 crore.</w:t>
            </w:r>
          </w:p>
        </w:tc>
      </w:tr>
      <w:tr>
        <w:trPr>
          <w:cantSplit/>
        </w:trPr>
        <w:tc>
          <w:tcPr>
            <w:tcW w:type="dxa" w:w="1656"/>
            <w:tcMar>
              <w:top w:w="85" w:type="dxa"/>
              <w:start w:w="100" w:type="dxa"/>
              <w:bottom w:w="85" w:type="dxa"/>
              <w:end w:w="100" w:type="dxa"/>
            </w:tcMar>
            <w:shd w:fill="F4F7FA"/>
            <w:vAlign w:val="center"/>
          </w:tcPr>
          <w:p>
            <w:pPr>
              <w:spacing w:after="0"/>
              <w:jc w:val="left"/>
            </w:pPr>
            <w:r>
              <w:rPr>
                <w:rFonts w:ascii="Arial" w:hAnsi="Arial"/>
                <w:color w:val="000000"/>
                <w:sz w:val="15"/>
              </w:rPr>
              <w:t>Supply and inventory</w:t>
            </w:r>
          </w:p>
        </w:tc>
        <w:tc>
          <w:tcPr>
            <w:tcW w:type="dxa" w:w="4392"/>
            <w:tcMar>
              <w:top w:w="85" w:type="dxa"/>
              <w:start w:w="100" w:type="dxa"/>
              <w:bottom w:w="85" w:type="dxa"/>
              <w:end w:w="100" w:type="dxa"/>
            </w:tcMar>
            <w:shd w:fill="F4F7FA"/>
            <w:vAlign w:val="center"/>
          </w:tcPr>
          <w:p>
            <w:pPr>
              <w:spacing w:after="0"/>
              <w:jc w:val="left"/>
            </w:pPr>
            <w:r>
              <w:rPr>
                <w:rFonts w:ascii="Arial" w:hAnsi="Arial"/>
                <w:color w:val="000000"/>
                <w:sz w:val="15"/>
              </w:rPr>
              <w:t>Imported or partner-supplied products can face stock-outs, while overstock raises expiry reserves.</w:t>
            </w:r>
          </w:p>
        </w:tc>
        <w:tc>
          <w:tcPr>
            <w:tcW w:type="dxa" w:w="3888"/>
            <w:tcMar>
              <w:top w:w="85" w:type="dxa"/>
              <w:start w:w="100" w:type="dxa"/>
              <w:bottom w:w="85" w:type="dxa"/>
              <w:end w:w="100" w:type="dxa"/>
            </w:tcMar>
            <w:shd w:fill="F4F7FA"/>
            <w:vAlign w:val="center"/>
          </w:tcPr>
          <w:p>
            <w:pPr>
              <w:spacing w:after="0"/>
              <w:jc w:val="left"/>
            </w:pPr>
            <w:r>
              <w:rPr>
                <w:rFonts w:ascii="Arial" w:hAnsi="Arial"/>
                <w:color w:val="000000"/>
                <w:sz w:val="15"/>
              </w:rPr>
              <w:t>Inventory days, stock-in-trade, expiry provision and vaccine availability.</w:t>
            </w:r>
          </w:p>
        </w:tc>
      </w:tr>
      <w:tr>
        <w:trPr>
          <w:cantSplit/>
        </w:trPr>
        <w:tc>
          <w:tcPr>
            <w:tcW w:type="dxa" w:w="1656"/>
            <w:tcMar>
              <w:top w:w="85" w:type="dxa"/>
              <w:start w:w="100" w:type="dxa"/>
              <w:bottom w:w="85" w:type="dxa"/>
              <w:end w:w="100" w:type="dxa"/>
            </w:tcMar>
            <w:vAlign w:val="center"/>
          </w:tcPr>
          <w:p>
            <w:pPr>
              <w:spacing w:after="0"/>
              <w:jc w:val="left"/>
            </w:pPr>
            <w:r>
              <w:rPr>
                <w:rFonts w:ascii="Arial" w:hAnsi="Arial"/>
                <w:color w:val="000000"/>
                <w:sz w:val="15"/>
              </w:rPr>
              <w:t>Regulatory and quality</w:t>
            </w:r>
          </w:p>
        </w:tc>
        <w:tc>
          <w:tcPr>
            <w:tcW w:type="dxa" w:w="4392"/>
            <w:tcMar>
              <w:top w:w="85" w:type="dxa"/>
              <w:start w:w="100" w:type="dxa"/>
              <w:bottom w:w="85" w:type="dxa"/>
              <w:end w:w="100" w:type="dxa"/>
            </w:tcMar>
            <w:vAlign w:val="center"/>
          </w:tcPr>
          <w:p>
            <w:pPr>
              <w:spacing w:after="0"/>
              <w:jc w:val="left"/>
            </w:pPr>
            <w:r>
              <w:rPr>
                <w:rFonts w:ascii="Arial" w:hAnsi="Arial"/>
                <w:color w:val="000000"/>
                <w:sz w:val="15"/>
              </w:rPr>
              <w:t>Pricing, product-quality or promotional-compliance actions can interrupt sales and damage trust.</w:t>
            </w:r>
          </w:p>
        </w:tc>
        <w:tc>
          <w:tcPr>
            <w:tcW w:type="dxa" w:w="3888"/>
            <w:tcMar>
              <w:top w:w="85" w:type="dxa"/>
              <w:start w:w="100" w:type="dxa"/>
              <w:bottom w:w="85" w:type="dxa"/>
              <w:end w:w="100" w:type="dxa"/>
            </w:tcMar>
            <w:vAlign w:val="center"/>
          </w:tcPr>
          <w:p>
            <w:pPr>
              <w:spacing w:after="0"/>
              <w:jc w:val="left"/>
            </w:pPr>
            <w:r>
              <w:rPr>
                <w:rFonts w:ascii="Arial" w:hAnsi="Arial"/>
                <w:color w:val="000000"/>
                <w:sz w:val="15"/>
              </w:rPr>
              <w:t>CDSCO and NPPA actions, recalls, warning letters and contingent liabilities.</w:t>
            </w:r>
          </w:p>
        </w:tc>
      </w:tr>
      <w:tr>
        <w:trPr>
          <w:cantSplit/>
        </w:trPr>
        <w:tc>
          <w:tcPr>
            <w:tcW w:type="dxa" w:w="1656"/>
            <w:tcMar>
              <w:top w:w="85" w:type="dxa"/>
              <w:start w:w="100" w:type="dxa"/>
              <w:bottom w:w="85" w:type="dxa"/>
              <w:end w:w="100" w:type="dxa"/>
            </w:tcMar>
            <w:shd w:fill="F4F7FA"/>
            <w:vAlign w:val="center"/>
          </w:tcPr>
          <w:p>
            <w:pPr>
              <w:spacing w:after="0"/>
              <w:jc w:val="left"/>
            </w:pPr>
            <w:r>
              <w:rPr>
                <w:rFonts w:ascii="Arial" w:hAnsi="Arial"/>
                <w:color w:val="000000"/>
                <w:sz w:val="15"/>
              </w:rPr>
              <w:t>Capital allocation</w:t>
            </w:r>
          </w:p>
        </w:tc>
        <w:tc>
          <w:tcPr>
            <w:tcW w:type="dxa" w:w="4392"/>
            <w:tcMar>
              <w:top w:w="85" w:type="dxa"/>
              <w:start w:w="100" w:type="dxa"/>
              <w:bottom w:w="85" w:type="dxa"/>
              <w:end w:w="100" w:type="dxa"/>
            </w:tcMar>
            <w:shd w:fill="F4F7FA"/>
            <w:vAlign w:val="center"/>
          </w:tcPr>
          <w:p>
            <w:pPr>
              <w:spacing w:after="0"/>
              <w:jc w:val="left"/>
            </w:pPr>
            <w:r>
              <w:rPr>
                <w:rFonts w:ascii="Arial" w:hAnsi="Arial"/>
                <w:color w:val="000000"/>
                <w:sz w:val="15"/>
              </w:rPr>
              <w:t>Excess cash supports resilience but can depress capital efficiency if not returned or deployed well.</w:t>
            </w:r>
          </w:p>
        </w:tc>
        <w:tc>
          <w:tcPr>
            <w:tcW w:type="dxa" w:w="3888"/>
            <w:tcMar>
              <w:top w:w="85" w:type="dxa"/>
              <w:start w:w="100" w:type="dxa"/>
              <w:bottom w:w="85" w:type="dxa"/>
              <w:end w:w="100" w:type="dxa"/>
            </w:tcMar>
            <w:shd w:fill="F4F7FA"/>
            <w:vAlign w:val="center"/>
          </w:tcPr>
          <w:p>
            <w:pPr>
              <w:spacing w:after="0"/>
              <w:jc w:val="left"/>
            </w:pPr>
            <w:r>
              <w:rPr>
                <w:rFonts w:ascii="Arial" w:hAnsi="Arial"/>
                <w:color w:val="000000"/>
                <w:sz w:val="15"/>
              </w:rPr>
              <w:t>Dividend payout, acquisitions, deposit balances and return on incremental invested capital.</w:t>
            </w:r>
          </w:p>
        </w:tc>
      </w:tr>
    </w:tbl>
    <w:p>
      <w:pPr>
        <w:spacing w:after="20"/>
      </w:pPr>
    </w:p>
    <w:p>
      <w:pPr>
        <w:keepLines w:val="0"/>
      </w:pPr>
      <w:r>
        <w:rPr>
          <w:rFonts w:ascii="Arial" w:hAnsi="Arial"/>
          <w:color w:val="000000"/>
          <w:sz w:val="21"/>
        </w:rPr>
        <w:t>Price controls remain a real, not theoretical, risk. Abbott and other India-focused multinational pharma companies were affected when medicines entered the 2022 essential-medicines list and became subject to ceiling prices. Abbott can offset part of the impact through volume, mix, productivity and non-scheduled products, but it cannot assume unrestricted annual pricing across the portfolio.</w:t>
      </w:r>
      <w:r>
        <w:rPr>
          <w:rFonts w:ascii="Arial" w:hAnsi="Arial"/>
          <w:color w:val="595959"/>
          <w:sz w:val="15"/>
          <w:vertAlign w:val="superscript"/>
        </w:rPr>
        <w:t xml:space="preserve"> [5]</w:t>
      </w:r>
    </w:p>
    <w:p>
      <w:pPr>
        <w:pStyle w:val="Heading1"/>
      </w:pPr>
      <w:r>
        <w:rPr>
          <w:rFonts w:ascii="Arial" w:hAnsi="Arial"/>
          <w:b/>
          <w:color w:val="000000"/>
          <w:sz w:val="32"/>
        </w:rPr>
        <w:t>The stock debates that matter</w:t>
      </w:r>
    </w:p>
    <w:p>
      <w:pPr>
        <w:pStyle w:val="Heading2"/>
      </w:pPr>
      <w:r>
        <w:rPr>
          <w:rFonts w:ascii="Arial" w:hAnsi="Arial"/>
          <w:b/>
          <w:color w:val="000000"/>
          <w:sz w:val="25"/>
        </w:rPr>
        <w:t>Can Abbott sustain above market growth</w:t>
      </w:r>
    </w:p>
    <w:p>
      <w:pPr>
        <w:keepLines w:val="0"/>
      </w:pPr>
      <w:r>
        <w:rPr>
          <w:rFonts w:ascii="Arial" w:hAnsi="Arial"/>
          <w:color w:val="000000"/>
          <w:sz w:val="21"/>
        </w:rPr>
        <w:t>The evidence is currently favorable but not conclusive. FY26 revenue grew 8.1% in a market management describes as historically 8% to 9%. Market data through August 2026 shows Abbott ahead of the IPM on TTM and YTD growth, though the latest month was below market. The bull case is that GI breadth, Thyronorm, Arachitol and new launches sustain share gains. The bear case is that FY26 benefited from mature-brand pricing and the next leg depends on lower-margin partnerships.</w:t>
      </w:r>
    </w:p>
    <w:p>
      <w:pPr>
        <w:pStyle w:val="Heading2"/>
      </w:pPr>
      <w:r>
        <w:rPr>
          <w:rFonts w:ascii="Arial" w:hAnsi="Arial"/>
          <w:b/>
          <w:color w:val="000000"/>
          <w:sz w:val="25"/>
        </w:rPr>
        <w:t>Is Extensior an earnings catalyst or a mix headwind</w:t>
      </w:r>
    </w:p>
    <w:p>
      <w:pPr>
        <w:keepLines w:val="0"/>
      </w:pPr>
      <w:r>
        <w:rPr>
          <w:rFonts w:ascii="Arial" w:hAnsi="Arial"/>
          <w:color w:val="000000"/>
          <w:sz w:val="21"/>
        </w:rPr>
        <w:t>Both outcomes can occur at the same time. Extensior can add material sales and strengthen Abbott’s diabetes relevance while producing less EBITDA per rupee of sales than an owned brand. Reported revenue growth could therefore accelerate while EBITDA margin stays flat or falls. The right test is incremental gross profit and operating profit, not launch revenue alone.</w:t>
      </w:r>
    </w:p>
    <w:p>
      <w:pPr>
        <w:pStyle w:val="Heading2"/>
      </w:pPr>
      <w:r>
        <w:rPr>
          <w:rFonts w:ascii="Arial" w:hAnsi="Arial"/>
          <w:b/>
          <w:color w:val="000000"/>
          <w:sz w:val="25"/>
        </w:rPr>
        <w:t>How much of the margin expansion is repeatable</w:t>
      </w:r>
    </w:p>
    <w:p>
      <w:pPr>
        <w:keepLines w:val="0"/>
      </w:pPr>
      <w:r>
        <w:rPr>
          <w:rFonts w:ascii="Arial" w:hAnsi="Arial"/>
          <w:color w:val="000000"/>
          <w:sz w:val="21"/>
        </w:rPr>
        <w:t>EBITDA margin increased from 23.7% in FY22 to 31.5% in FY26. Some of the gain reflects structural portfolio and productivity improvement, but the base is now demanding. Employee and other operating costs together are already below 20% of sales. Further expansion requires gross-margin mix, sales-force productivity or lower reinvestment. A new product cycle can temporarily reverse that progression even if long-term value improves.</w:t>
      </w:r>
    </w:p>
    <w:p>
      <w:pPr>
        <w:pStyle w:val="Heading2"/>
      </w:pPr>
      <w:r>
        <w:rPr>
          <w:rFonts w:ascii="Arial" w:hAnsi="Arial"/>
          <w:b/>
          <w:color w:val="000000"/>
          <w:sz w:val="25"/>
        </w:rPr>
        <w:t>Does the parent relationship create or transfer value</w:t>
      </w:r>
    </w:p>
    <w:p>
      <w:pPr>
        <w:keepLines w:val="0"/>
      </w:pPr>
      <w:r>
        <w:rPr>
          <w:rFonts w:ascii="Arial" w:hAnsi="Arial"/>
          <w:color w:val="000000"/>
          <w:sz w:val="21"/>
        </w:rPr>
        <w:t>The listed company benefits from global products, science, branding and some marketing rights without explicit payment. It also buys products and services from affiliates and distributes most of its earnings through dividends to the promoter. The relationship has historically created a high-quality listed franchise, but investors should continue to test whether new assets enter Abbott India Limited or other Abbott entities, and whether related-party terms preserve minority economics.</w:t>
      </w:r>
    </w:p>
    <w:p>
      <w:pPr>
        <w:pStyle w:val="Heading1"/>
      </w:pPr>
      <w:r>
        <w:rPr>
          <w:rFonts w:ascii="Arial" w:hAnsi="Arial"/>
          <w:b/>
          <w:color w:val="000000"/>
          <w:sz w:val="32"/>
        </w:rPr>
        <w:t>Framework for the revenue model</w:t>
      </w:r>
    </w:p>
    <w:p>
      <w:pPr>
        <w:keepLines w:val="0"/>
      </w:pPr>
      <w:r>
        <w:rPr>
          <w:rFonts w:ascii="Arial" w:hAnsi="Arial"/>
          <w:color w:val="000000"/>
          <w:sz w:val="21"/>
        </w:rPr>
        <w:t>The model should be built by franchise and brand rather than by applying one company growth rate. Historical product revenue should reconcile to company pharmaceutical revenue, with an explicit residual for undisclosed products. Market-data brands must be mapped to legal economic ownership before inclusion. Forecast logic should separate legacy price, legacy volume, new launches and partner-distributed products.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1800"/>
            <w:shd w:fill="17324D"/>
            <w:tcMar>
              <w:top w:w="95" w:type="dxa"/>
              <w:start w:w="100" w:type="dxa"/>
              <w:bottom w:w="95" w:type="dxa"/>
              <w:end w:w="100" w:type="dxa"/>
            </w:tcMar>
            <w:vAlign w:val="center"/>
          </w:tcPr>
          <w:p>
            <w:pPr>
              <w:spacing w:after="0"/>
              <w:jc w:val="center"/>
            </w:pPr>
            <w:r>
              <w:rPr>
                <w:rFonts w:ascii="Arial" w:hAnsi="Arial"/>
                <w:b/>
                <w:color w:val="FFFFFF"/>
                <w:sz w:val="16"/>
              </w:rPr>
              <w:t>Build block</w:t>
            </w:r>
          </w:p>
        </w:tc>
        <w:tc>
          <w:tcPr>
            <w:tcW w:type="dxa" w:w="3528"/>
            <w:shd w:fill="17324D"/>
            <w:tcMar>
              <w:top w:w="95" w:type="dxa"/>
              <w:start w:w="100" w:type="dxa"/>
              <w:bottom w:w="95" w:type="dxa"/>
              <w:end w:w="100" w:type="dxa"/>
            </w:tcMar>
            <w:vAlign w:val="center"/>
          </w:tcPr>
          <w:p>
            <w:pPr>
              <w:spacing w:after="0"/>
              <w:jc w:val="center"/>
            </w:pPr>
            <w:r>
              <w:rPr>
                <w:rFonts w:ascii="Arial" w:hAnsi="Arial"/>
                <w:b/>
                <w:color w:val="FFFFFF"/>
                <w:sz w:val="16"/>
              </w:rPr>
              <w:t>Primary drivers</w:t>
            </w:r>
          </w:p>
        </w:tc>
        <w:tc>
          <w:tcPr>
            <w:tcW w:type="dxa" w:w="4608"/>
            <w:shd w:fill="17324D"/>
            <w:tcMar>
              <w:top w:w="95" w:type="dxa"/>
              <w:start w:w="100" w:type="dxa"/>
              <w:bottom w:w="95" w:type="dxa"/>
              <w:end w:w="100" w:type="dxa"/>
            </w:tcMar>
            <w:vAlign w:val="center"/>
          </w:tcPr>
          <w:p>
            <w:pPr>
              <w:spacing w:after="0"/>
              <w:jc w:val="center"/>
            </w:pPr>
            <w:r>
              <w:rPr>
                <w:rFonts w:ascii="Arial" w:hAnsi="Arial"/>
                <w:b/>
                <w:color w:val="FFFFFF"/>
                <w:sz w:val="16"/>
              </w:rPr>
              <w:t>Recommended treatment</w:t>
            </w:r>
          </w:p>
        </w:tc>
      </w:tr>
      <w:tr>
        <w:trPr>
          <w:cantSplit/>
        </w:trPr>
        <w:tc>
          <w:tcPr>
            <w:tcW w:type="dxa" w:w="1800"/>
            <w:tcMar>
              <w:top w:w="85" w:type="dxa"/>
              <w:start w:w="100" w:type="dxa"/>
              <w:bottom w:w="85" w:type="dxa"/>
              <w:end w:w="100" w:type="dxa"/>
            </w:tcMar>
            <w:vAlign w:val="center"/>
          </w:tcPr>
          <w:p>
            <w:pPr>
              <w:spacing w:after="0"/>
              <w:jc w:val="left"/>
            </w:pPr>
            <w:r>
              <w:rPr>
                <w:rFonts w:ascii="Arial" w:hAnsi="Arial"/>
                <w:color w:val="000000"/>
                <w:sz w:val="15"/>
              </w:rPr>
              <w:t>Large legacy brands</w:t>
            </w:r>
          </w:p>
        </w:tc>
        <w:tc>
          <w:tcPr>
            <w:tcW w:type="dxa" w:w="3528"/>
            <w:tcMar>
              <w:top w:w="85" w:type="dxa"/>
              <w:start w:w="100" w:type="dxa"/>
              <w:bottom w:w="85" w:type="dxa"/>
              <w:end w:w="100" w:type="dxa"/>
            </w:tcMar>
            <w:vAlign w:val="center"/>
          </w:tcPr>
          <w:p>
            <w:pPr>
              <w:spacing w:after="0"/>
              <w:jc w:val="left"/>
            </w:pPr>
            <w:r>
              <w:rPr>
                <w:rFonts w:ascii="Arial" w:hAnsi="Arial"/>
                <w:color w:val="000000"/>
                <w:sz w:val="15"/>
              </w:rPr>
              <w:t>Volume, permitted price, market growth, share, adherence</w:t>
            </w:r>
          </w:p>
        </w:tc>
        <w:tc>
          <w:tcPr>
            <w:tcW w:type="dxa" w:w="4608"/>
            <w:tcMar>
              <w:top w:w="85" w:type="dxa"/>
              <w:start w:w="100" w:type="dxa"/>
              <w:bottom w:w="85" w:type="dxa"/>
              <w:end w:w="100" w:type="dxa"/>
            </w:tcMar>
            <w:vAlign w:val="center"/>
          </w:tcPr>
          <w:p>
            <w:pPr>
              <w:spacing w:after="0"/>
              <w:jc w:val="left"/>
            </w:pPr>
            <w:r>
              <w:rPr>
                <w:rFonts w:ascii="Arial" w:hAnsi="Arial"/>
                <w:color w:val="000000"/>
                <w:sz w:val="15"/>
              </w:rPr>
              <w:t>Model Thyronorm, Udiliv, Duphaston, Vertin, Arachitol and major GI brands separately where data supports it.</w:t>
            </w:r>
          </w:p>
        </w:tc>
      </w:tr>
      <w:tr>
        <w:trPr>
          <w:cantSplit/>
        </w:trPr>
        <w:tc>
          <w:tcPr>
            <w:tcW w:type="dxa" w:w="1800"/>
            <w:tcMar>
              <w:top w:w="85" w:type="dxa"/>
              <w:start w:w="100" w:type="dxa"/>
              <w:bottom w:w="85" w:type="dxa"/>
              <w:end w:w="100" w:type="dxa"/>
            </w:tcMar>
            <w:shd w:fill="F4F7FA"/>
            <w:vAlign w:val="center"/>
          </w:tcPr>
          <w:p>
            <w:pPr>
              <w:spacing w:after="0"/>
              <w:jc w:val="left"/>
            </w:pPr>
            <w:r>
              <w:rPr>
                <w:rFonts w:ascii="Arial" w:hAnsi="Arial"/>
                <w:color w:val="000000"/>
                <w:sz w:val="15"/>
              </w:rPr>
              <w:t>Mid-tail brands</w:t>
            </w:r>
          </w:p>
        </w:tc>
        <w:tc>
          <w:tcPr>
            <w:tcW w:type="dxa" w:w="3528"/>
            <w:tcMar>
              <w:top w:w="85" w:type="dxa"/>
              <w:start w:w="100" w:type="dxa"/>
              <w:bottom w:w="85" w:type="dxa"/>
              <w:end w:w="100" w:type="dxa"/>
            </w:tcMar>
            <w:shd w:fill="F4F7FA"/>
            <w:vAlign w:val="center"/>
          </w:tcPr>
          <w:p>
            <w:pPr>
              <w:spacing w:after="0"/>
              <w:jc w:val="left"/>
            </w:pPr>
            <w:r>
              <w:rPr>
                <w:rFonts w:ascii="Arial" w:hAnsi="Arial"/>
                <w:color w:val="000000"/>
                <w:sz w:val="15"/>
              </w:rPr>
              <w:t>Therapy growth and portfolio actions</w:t>
            </w:r>
          </w:p>
        </w:tc>
        <w:tc>
          <w:tcPr>
            <w:tcW w:type="dxa" w:w="4608"/>
            <w:tcMar>
              <w:top w:w="85" w:type="dxa"/>
              <w:start w:w="100" w:type="dxa"/>
              <w:bottom w:w="85" w:type="dxa"/>
              <w:end w:w="100" w:type="dxa"/>
            </w:tcMar>
            <w:shd w:fill="F4F7FA"/>
            <w:vAlign w:val="center"/>
          </w:tcPr>
          <w:p>
            <w:pPr>
              <w:spacing w:after="0"/>
              <w:jc w:val="left"/>
            </w:pPr>
            <w:r>
              <w:rPr>
                <w:rFonts w:ascii="Arial" w:hAnsi="Arial"/>
                <w:color w:val="000000"/>
                <w:sz w:val="15"/>
              </w:rPr>
              <w:t>Group by therapy and calibrate to historical company growth. Avoid false product precision.</w:t>
            </w:r>
          </w:p>
        </w:tc>
      </w:tr>
      <w:tr>
        <w:trPr>
          <w:cantSplit/>
        </w:trPr>
        <w:tc>
          <w:tcPr>
            <w:tcW w:type="dxa" w:w="1800"/>
            <w:tcMar>
              <w:top w:w="85" w:type="dxa"/>
              <w:start w:w="100" w:type="dxa"/>
              <w:bottom w:w="85" w:type="dxa"/>
              <w:end w:w="100" w:type="dxa"/>
            </w:tcMar>
            <w:vAlign w:val="center"/>
          </w:tcPr>
          <w:p>
            <w:pPr>
              <w:spacing w:after="0"/>
              <w:jc w:val="left"/>
            </w:pPr>
            <w:r>
              <w:rPr>
                <w:rFonts w:ascii="Arial" w:hAnsi="Arial"/>
                <w:color w:val="000000"/>
                <w:sz w:val="15"/>
              </w:rPr>
              <w:t>Lifecycle extensions</w:t>
            </w:r>
          </w:p>
        </w:tc>
        <w:tc>
          <w:tcPr>
            <w:tcW w:type="dxa" w:w="3528"/>
            <w:tcMar>
              <w:top w:w="85" w:type="dxa"/>
              <w:start w:w="100" w:type="dxa"/>
              <w:bottom w:w="85" w:type="dxa"/>
              <w:end w:w="100" w:type="dxa"/>
            </w:tcMar>
            <w:vAlign w:val="center"/>
          </w:tcPr>
          <w:p>
            <w:pPr>
              <w:spacing w:after="0"/>
              <w:jc w:val="left"/>
            </w:pPr>
            <w:r>
              <w:rPr>
                <w:rFonts w:ascii="Arial" w:hAnsi="Arial"/>
                <w:color w:val="000000"/>
                <w:sz w:val="15"/>
              </w:rPr>
              <w:t>Launch timing, cannibalization, format premium</w:t>
            </w:r>
          </w:p>
        </w:tc>
        <w:tc>
          <w:tcPr>
            <w:tcW w:type="dxa" w:w="4608"/>
            <w:tcMar>
              <w:top w:w="85" w:type="dxa"/>
              <w:start w:w="100" w:type="dxa"/>
              <w:bottom w:w="85" w:type="dxa"/>
              <w:end w:w="100" w:type="dxa"/>
            </w:tcMar>
            <w:vAlign w:val="center"/>
          </w:tcPr>
          <w:p>
            <w:pPr>
              <w:spacing w:after="0"/>
              <w:jc w:val="left"/>
            </w:pPr>
            <w:r>
              <w:rPr>
                <w:rFonts w:ascii="Arial" w:hAnsi="Arial"/>
                <w:color w:val="000000"/>
                <w:sz w:val="15"/>
              </w:rPr>
              <w:t>Forecast incremental franchise sales, not gross launch sales, where the extension replaces an existing format.</w:t>
            </w:r>
          </w:p>
        </w:tc>
      </w:tr>
      <w:tr>
        <w:trPr>
          <w:cantSplit/>
        </w:trPr>
        <w:tc>
          <w:tcPr>
            <w:tcW w:type="dxa" w:w="1800"/>
            <w:tcMar>
              <w:top w:w="85" w:type="dxa"/>
              <w:start w:w="100" w:type="dxa"/>
              <w:bottom w:w="85" w:type="dxa"/>
              <w:end w:w="100" w:type="dxa"/>
            </w:tcMar>
            <w:shd w:fill="F4F7FA"/>
            <w:vAlign w:val="center"/>
          </w:tcPr>
          <w:p>
            <w:pPr>
              <w:spacing w:after="0"/>
              <w:jc w:val="left"/>
            </w:pPr>
            <w:r>
              <w:rPr>
                <w:rFonts w:ascii="Arial" w:hAnsi="Arial"/>
                <w:color w:val="000000"/>
                <w:sz w:val="15"/>
              </w:rPr>
              <w:t>Extensior</w:t>
            </w:r>
          </w:p>
        </w:tc>
        <w:tc>
          <w:tcPr>
            <w:tcW w:type="dxa" w:w="3528"/>
            <w:tcMar>
              <w:top w:w="85" w:type="dxa"/>
              <w:start w:w="100" w:type="dxa"/>
              <w:bottom w:w="85" w:type="dxa"/>
              <w:end w:w="100" w:type="dxa"/>
            </w:tcMar>
            <w:shd w:fill="F4F7FA"/>
            <w:vAlign w:val="center"/>
          </w:tcPr>
          <w:p>
            <w:pPr>
              <w:spacing w:after="0"/>
              <w:jc w:val="left"/>
            </w:pPr>
            <w:r>
              <w:rPr>
                <w:rFonts w:ascii="Arial" w:hAnsi="Arial"/>
                <w:color w:val="000000"/>
                <w:sz w:val="15"/>
              </w:rPr>
              <w:t>Eligible T2D patients, treated share, Abbott reach, price, persistence, retained margin</w:t>
            </w:r>
          </w:p>
        </w:tc>
        <w:tc>
          <w:tcPr>
            <w:tcW w:type="dxa" w:w="4608"/>
            <w:tcMar>
              <w:top w:w="85" w:type="dxa"/>
              <w:start w:w="100" w:type="dxa"/>
              <w:bottom w:w="85" w:type="dxa"/>
              <w:end w:w="100" w:type="dxa"/>
            </w:tcMar>
            <w:shd w:fill="F4F7FA"/>
            <w:vAlign w:val="center"/>
          </w:tcPr>
          <w:p>
            <w:pPr>
              <w:spacing w:after="0"/>
              <w:jc w:val="left"/>
            </w:pPr>
            <w:r>
              <w:rPr>
                <w:rFonts w:ascii="Arial" w:hAnsi="Arial"/>
                <w:color w:val="000000"/>
                <w:sz w:val="15"/>
              </w:rPr>
              <w:t>Keep revenue and gross-profit assumptions separate. Include a patent-expiry competition curve.</w:t>
            </w:r>
          </w:p>
        </w:tc>
      </w:tr>
      <w:tr>
        <w:trPr>
          <w:cantSplit/>
        </w:trPr>
        <w:tc>
          <w:tcPr>
            <w:tcW w:type="dxa" w:w="1800"/>
            <w:tcMar>
              <w:top w:w="85" w:type="dxa"/>
              <w:start w:w="100" w:type="dxa"/>
              <w:bottom w:w="85" w:type="dxa"/>
              <w:end w:w="100" w:type="dxa"/>
            </w:tcMar>
            <w:vAlign w:val="center"/>
          </w:tcPr>
          <w:p>
            <w:pPr>
              <w:spacing w:after="0"/>
              <w:jc w:val="left"/>
            </w:pPr>
            <w:r>
              <w:rPr>
                <w:rFonts w:ascii="Arial" w:hAnsi="Arial"/>
                <w:color w:val="000000"/>
                <w:sz w:val="15"/>
              </w:rPr>
              <w:t>Vaccines</w:t>
            </w:r>
          </w:p>
        </w:tc>
        <w:tc>
          <w:tcPr>
            <w:tcW w:type="dxa" w:w="3528"/>
            <w:tcMar>
              <w:top w:w="85" w:type="dxa"/>
              <w:start w:w="100" w:type="dxa"/>
              <w:bottom w:w="85" w:type="dxa"/>
              <w:end w:w="100" w:type="dxa"/>
            </w:tcMar>
            <w:vAlign w:val="center"/>
          </w:tcPr>
          <w:p>
            <w:pPr>
              <w:spacing w:after="0"/>
              <w:jc w:val="left"/>
            </w:pPr>
            <w:r>
              <w:rPr>
                <w:rFonts w:ascii="Arial" w:hAnsi="Arial"/>
                <w:color w:val="000000"/>
                <w:sz w:val="15"/>
              </w:rPr>
              <w:t>Seasonality, doses, price, supply, channel inventory</w:t>
            </w:r>
          </w:p>
        </w:tc>
        <w:tc>
          <w:tcPr>
            <w:tcW w:type="dxa" w:w="4608"/>
            <w:tcMar>
              <w:top w:w="85" w:type="dxa"/>
              <w:start w:w="100" w:type="dxa"/>
              <w:bottom w:w="85" w:type="dxa"/>
              <w:end w:w="100" w:type="dxa"/>
            </w:tcMar>
            <w:vAlign w:val="center"/>
          </w:tcPr>
          <w:p>
            <w:pPr>
              <w:spacing w:after="0"/>
              <w:jc w:val="left"/>
            </w:pPr>
            <w:r>
              <w:rPr>
                <w:rFonts w:ascii="Arial" w:hAnsi="Arial"/>
                <w:color w:val="000000"/>
                <w:sz w:val="15"/>
              </w:rPr>
              <w:t>Use quarterly phasing and avoid a flat annual run rate.</w:t>
            </w:r>
          </w:p>
        </w:tc>
      </w:tr>
      <w:tr>
        <w:trPr>
          <w:cantSplit/>
        </w:trPr>
        <w:tc>
          <w:tcPr>
            <w:tcW w:type="dxa" w:w="1800"/>
            <w:tcMar>
              <w:top w:w="85" w:type="dxa"/>
              <w:start w:w="100" w:type="dxa"/>
              <w:bottom w:w="85" w:type="dxa"/>
              <w:end w:w="100" w:type="dxa"/>
            </w:tcMar>
            <w:shd w:fill="F4F7FA"/>
            <w:vAlign w:val="center"/>
          </w:tcPr>
          <w:p>
            <w:pPr>
              <w:spacing w:after="0"/>
              <w:jc w:val="left"/>
            </w:pPr>
            <w:r>
              <w:rPr>
                <w:rFonts w:ascii="Arial" w:hAnsi="Arial"/>
                <w:color w:val="000000"/>
                <w:sz w:val="15"/>
              </w:rPr>
              <w:t>Residual portfolio</w:t>
            </w:r>
          </w:p>
        </w:tc>
        <w:tc>
          <w:tcPr>
            <w:tcW w:type="dxa" w:w="3528"/>
            <w:tcMar>
              <w:top w:w="85" w:type="dxa"/>
              <w:start w:w="100" w:type="dxa"/>
              <w:bottom w:w="85" w:type="dxa"/>
              <w:end w:w="100" w:type="dxa"/>
            </w:tcMar>
            <w:shd w:fill="F4F7FA"/>
            <w:vAlign w:val="center"/>
          </w:tcPr>
          <w:p>
            <w:pPr>
              <w:spacing w:after="0"/>
              <w:jc w:val="left"/>
            </w:pPr>
            <w:r>
              <w:rPr>
                <w:rFonts w:ascii="Arial" w:hAnsi="Arial"/>
                <w:color w:val="000000"/>
                <w:sz w:val="15"/>
              </w:rPr>
              <w:t>Company revenue less identified brands</w:t>
            </w:r>
          </w:p>
        </w:tc>
        <w:tc>
          <w:tcPr>
            <w:tcW w:type="dxa" w:w="4608"/>
            <w:tcMar>
              <w:top w:w="85" w:type="dxa"/>
              <w:start w:w="100" w:type="dxa"/>
              <w:bottom w:w="85" w:type="dxa"/>
              <w:end w:w="100" w:type="dxa"/>
            </w:tcMar>
            <w:shd w:fill="F4F7FA"/>
            <w:vAlign w:val="center"/>
          </w:tcPr>
          <w:p>
            <w:pPr>
              <w:spacing w:after="0"/>
              <w:jc w:val="left"/>
            </w:pPr>
            <w:r>
              <w:rPr>
                <w:rFonts w:ascii="Arial" w:hAnsi="Arial"/>
                <w:color w:val="000000"/>
                <w:sz w:val="15"/>
              </w:rPr>
              <w:t>Use a transparent Other products line and reconcile every year.</w:t>
            </w:r>
          </w:p>
        </w:tc>
      </w:tr>
      <w:tr>
        <w:trPr>
          <w:cantSplit/>
        </w:trPr>
        <w:tc>
          <w:tcPr>
            <w:tcW w:type="dxa" w:w="1800"/>
            <w:tcMar>
              <w:top w:w="85" w:type="dxa"/>
              <w:start w:w="100" w:type="dxa"/>
              <w:bottom w:w="85" w:type="dxa"/>
              <w:end w:w="100" w:type="dxa"/>
            </w:tcMar>
            <w:vAlign w:val="center"/>
          </w:tcPr>
          <w:p>
            <w:pPr>
              <w:spacing w:after="0"/>
              <w:jc w:val="left"/>
            </w:pPr>
            <w:r>
              <w:rPr>
                <w:rFonts w:ascii="Arial" w:hAnsi="Arial"/>
                <w:color w:val="000000"/>
                <w:sz w:val="15"/>
              </w:rPr>
              <w:t>Operating costs</w:t>
            </w:r>
          </w:p>
        </w:tc>
        <w:tc>
          <w:tcPr>
            <w:tcW w:type="dxa" w:w="3528"/>
            <w:tcMar>
              <w:top w:w="85" w:type="dxa"/>
              <w:start w:w="100" w:type="dxa"/>
              <w:bottom w:w="85" w:type="dxa"/>
              <w:end w:w="100" w:type="dxa"/>
            </w:tcMar>
            <w:vAlign w:val="center"/>
          </w:tcPr>
          <w:p>
            <w:pPr>
              <w:spacing w:after="0"/>
              <w:jc w:val="left"/>
            </w:pPr>
            <w:r>
              <w:rPr>
                <w:rFonts w:ascii="Arial" w:hAnsi="Arial"/>
                <w:color w:val="000000"/>
                <w:sz w:val="15"/>
              </w:rPr>
              <w:t>Field-force cost, launch investment, medical affairs, productivity</w:t>
            </w:r>
          </w:p>
        </w:tc>
        <w:tc>
          <w:tcPr>
            <w:tcW w:type="dxa" w:w="4608"/>
            <w:tcMar>
              <w:top w:w="85" w:type="dxa"/>
              <w:start w:w="100" w:type="dxa"/>
              <w:bottom w:w="85" w:type="dxa"/>
              <w:end w:w="100" w:type="dxa"/>
            </w:tcMar>
            <w:vAlign w:val="center"/>
          </w:tcPr>
          <w:p>
            <w:pPr>
              <w:spacing w:after="0"/>
              <w:jc w:val="left"/>
            </w:pPr>
            <w:r>
              <w:rPr>
                <w:rFonts w:ascii="Arial" w:hAnsi="Arial"/>
                <w:color w:val="000000"/>
                <w:sz w:val="15"/>
              </w:rPr>
              <w:t>Link opex to franchise activity and distinguish recurring selling cost from launch investment.</w:t>
            </w:r>
          </w:p>
        </w:tc>
      </w:tr>
    </w:tbl>
    <w:p>
      <w:pPr>
        <w:spacing w:after="20"/>
      </w:pPr>
    </w:p>
    <w:p>
      <w:pPr>
        <w:pStyle w:val="Heading2"/>
      </w:pPr>
      <w:r>
        <w:rPr>
          <w:rFonts w:ascii="Arial" w:hAnsi="Arial"/>
          <w:b/>
          <w:color w:val="000000"/>
          <w:sz w:val="25"/>
        </w:rPr>
        <w:t>Key performance indicators to track</w:t>
      </w:r>
    </w:p>
    <w:p>
      <w:pPr>
        <w:pStyle w:val="ListBullet"/>
        <w:spacing w:after="60"/>
        <w:ind w:left="360" w:hanging="230"/>
      </w:pPr>
      <w:r>
        <w:rPr>
          <w:rFonts w:ascii="Arial" w:hAnsi="Arial"/>
          <w:color w:val="000000"/>
          <w:sz w:val="20"/>
        </w:rPr>
        <w:t>Company growth versus the IPM on monthly, YTD and TTM bases, using the vendor-reported series where source data does not reconcile.</w:t>
      </w:r>
    </w:p>
    <w:p>
      <w:pPr>
        <w:pStyle w:val="ListBullet"/>
        <w:spacing w:after="60"/>
        <w:ind w:left="360" w:hanging="230"/>
      </w:pPr>
      <w:r>
        <w:rPr>
          <w:rFonts w:ascii="Arial" w:hAnsi="Arial"/>
          <w:color w:val="000000"/>
          <w:sz w:val="20"/>
        </w:rPr>
        <w:t>TTM growth and growth contribution for Thyronorm, Udiliv, Duphaston, Cremaffin Plus, Digene, Vertin and Arachitol.</w:t>
      </w:r>
    </w:p>
    <w:p>
      <w:pPr>
        <w:pStyle w:val="ListBullet"/>
        <w:spacing w:after="60"/>
        <w:ind w:left="360" w:hanging="230"/>
      </w:pPr>
      <w:r>
        <w:rPr>
          <w:rFonts w:ascii="Arial" w:hAnsi="Arial"/>
          <w:color w:val="000000"/>
          <w:sz w:val="20"/>
        </w:rPr>
        <w:t>Extensior prescription share, net realized price, repeat rates and gross margin, with explicit separation from other Novo products.</w:t>
      </w:r>
    </w:p>
    <w:p>
      <w:pPr>
        <w:pStyle w:val="ListBullet"/>
        <w:spacing w:after="60"/>
        <w:ind w:left="360" w:hanging="230"/>
      </w:pPr>
      <w:r>
        <w:rPr>
          <w:rFonts w:ascii="Arial" w:hAnsi="Arial"/>
          <w:color w:val="000000"/>
          <w:sz w:val="20"/>
        </w:rPr>
        <w:t>Gross-margin proxy, EBITDA margin and employee-plus-other-expense ratio.</w:t>
      </w:r>
    </w:p>
    <w:p>
      <w:pPr>
        <w:pStyle w:val="ListBullet"/>
        <w:spacing w:after="60"/>
        <w:ind w:left="360" w:hanging="230"/>
      </w:pPr>
      <w:r>
        <w:rPr>
          <w:rFonts w:ascii="Arial" w:hAnsi="Arial"/>
          <w:color w:val="000000"/>
          <w:sz w:val="20"/>
        </w:rPr>
        <w:t>Inventory days, stock-in-trade, expiry reserve and trade-payable funding.</w:t>
      </w:r>
    </w:p>
    <w:p>
      <w:pPr>
        <w:pStyle w:val="ListBullet"/>
        <w:spacing w:after="60"/>
        <w:ind w:left="360" w:hanging="230"/>
      </w:pPr>
      <w:r>
        <w:rPr>
          <w:rFonts w:ascii="Arial" w:hAnsi="Arial"/>
          <w:color w:val="000000"/>
          <w:sz w:val="20"/>
        </w:rPr>
        <w:t>Number of brands above ₹100 crore and contribution from products launched in the prior three years.</w:t>
      </w:r>
    </w:p>
    <w:p>
      <w:pPr>
        <w:pStyle w:val="ListBullet"/>
        <w:spacing w:after="60"/>
        <w:ind w:left="360" w:hanging="230"/>
      </w:pPr>
      <w:r>
        <w:rPr>
          <w:rFonts w:ascii="Arial" w:hAnsi="Arial"/>
          <w:color w:val="000000"/>
          <w:sz w:val="20"/>
        </w:rPr>
        <w:t>Cash and term deposits, dividend payout and any acquisition or licensing consideration.</w:t>
      </w:r>
    </w:p>
    <w:p>
      <w:pPr>
        <w:pStyle w:val="Heading1"/>
      </w:pPr>
      <w:r>
        <w:rPr>
          <w:rFonts w:ascii="Arial" w:hAnsi="Arial"/>
          <w:b/>
          <w:color w:val="000000"/>
          <w:sz w:val="32"/>
        </w:rPr>
        <w:t>Questions for management and investor relations</w:t>
      </w:r>
    </w:p>
    <w:p>
      <w:pPr>
        <w:pStyle w:val="ListNumber"/>
        <w:spacing w:after="60"/>
        <w:ind w:left="389" w:hanging="259"/>
      </w:pPr>
      <w:r>
        <w:rPr>
          <w:rFonts w:ascii="Arial" w:hAnsi="Arial"/>
          <w:color w:val="000000"/>
          <w:sz w:val="20"/>
        </w:rPr>
        <w:t>What percentage of FY26 revenue came from each of the six disclosed therapy franchises, and which franchises grew above the IPM?</w:t>
      </w:r>
    </w:p>
    <w:p>
      <w:pPr>
        <w:pStyle w:val="ListNumber"/>
        <w:spacing w:after="60"/>
        <w:ind w:left="389" w:hanging="259"/>
      </w:pPr>
      <w:r>
        <w:rPr>
          <w:rFonts w:ascii="Arial" w:hAnsi="Arial"/>
          <w:color w:val="000000"/>
          <w:sz w:val="20"/>
        </w:rPr>
        <w:t>How much of FY26 revenue growth came from volume, price and new products?</w:t>
      </w:r>
    </w:p>
    <w:p>
      <w:pPr>
        <w:pStyle w:val="ListNumber"/>
        <w:spacing w:after="60"/>
        <w:ind w:left="389" w:hanging="259"/>
      </w:pPr>
      <w:r>
        <w:rPr>
          <w:rFonts w:ascii="Arial" w:hAnsi="Arial"/>
          <w:color w:val="000000"/>
          <w:sz w:val="20"/>
        </w:rPr>
        <w:t>Which brands are currently subject to DPCO ceiling prices, and what share of sales do they represent?</w:t>
      </w:r>
    </w:p>
    <w:p>
      <w:pPr>
        <w:pStyle w:val="ListNumber"/>
        <w:spacing w:after="60"/>
        <w:ind w:left="389" w:hanging="259"/>
      </w:pPr>
      <w:r>
        <w:rPr>
          <w:rFonts w:ascii="Arial" w:hAnsi="Arial"/>
          <w:color w:val="000000"/>
          <w:sz w:val="20"/>
        </w:rPr>
        <w:t>For Extensior, does Abbott record gross product revenue or a net distribution margin, and what working-capital responsibility sits with the listed company?</w:t>
      </w:r>
    </w:p>
    <w:p>
      <w:pPr>
        <w:pStyle w:val="ListNumber"/>
        <w:spacing w:after="60"/>
        <w:ind w:left="389" w:hanging="259"/>
      </w:pPr>
      <w:r>
        <w:rPr>
          <w:rFonts w:ascii="Arial" w:hAnsi="Arial"/>
          <w:color w:val="000000"/>
          <w:sz w:val="20"/>
        </w:rPr>
        <w:t>Does the Extensior agreement cover only type 2 diabetes, and what is the term and exclusivity scope of the agreement?</w:t>
      </w:r>
    </w:p>
    <w:p>
      <w:pPr>
        <w:pStyle w:val="ListNumber"/>
        <w:spacing w:after="60"/>
        <w:ind w:left="389" w:hanging="259"/>
      </w:pPr>
      <w:r>
        <w:rPr>
          <w:rFonts w:ascii="Arial" w:hAnsi="Arial"/>
          <w:color w:val="000000"/>
          <w:sz w:val="20"/>
        </w:rPr>
        <w:t>How should investors distinguish Rybelsus, Wegovy and other Novo products visible in ABT market data from products economically attributable to Abbott India Limited?</w:t>
      </w:r>
    </w:p>
    <w:p>
      <w:pPr>
        <w:pStyle w:val="ListNumber"/>
        <w:spacing w:after="60"/>
        <w:ind w:left="389" w:hanging="259"/>
      </w:pPr>
      <w:r>
        <w:rPr>
          <w:rFonts w:ascii="Arial" w:hAnsi="Arial"/>
          <w:color w:val="000000"/>
          <w:sz w:val="20"/>
        </w:rPr>
        <w:t>What explains the rise in inventory days from 78 to 90, and how much relates to new launches or supply protection?</w:t>
      </w:r>
    </w:p>
    <w:p>
      <w:pPr>
        <w:pStyle w:val="ListNumber"/>
        <w:spacing w:after="60"/>
        <w:ind w:left="389" w:hanging="259"/>
      </w:pPr>
      <w:r>
        <w:rPr>
          <w:rFonts w:ascii="Arial" w:hAnsi="Arial"/>
          <w:color w:val="000000"/>
          <w:sz w:val="20"/>
        </w:rPr>
        <w:t>What drove the 80 basis point EBITDA-margin improvement in FY26, and how much launch investment is planned for FY27?</w:t>
      </w:r>
    </w:p>
    <w:p>
      <w:pPr>
        <w:pStyle w:val="ListNumber"/>
        <w:spacing w:after="60"/>
        <w:ind w:left="389" w:hanging="259"/>
      </w:pPr>
      <w:r>
        <w:rPr>
          <w:rFonts w:ascii="Arial" w:hAnsi="Arial"/>
          <w:color w:val="000000"/>
          <w:sz w:val="20"/>
        </w:rPr>
        <w:t>Which products are manufactured at Goa, sourced from Abbott affiliates, sourced from domestic third parties and imported?</w:t>
      </w:r>
    </w:p>
    <w:p>
      <w:pPr>
        <w:pStyle w:val="ListNumber"/>
        <w:spacing w:after="60"/>
        <w:ind w:left="389" w:hanging="259"/>
      </w:pPr>
      <w:r>
        <w:rPr>
          <w:rFonts w:ascii="Arial" w:hAnsi="Arial"/>
          <w:color w:val="000000"/>
          <w:sz w:val="20"/>
        </w:rPr>
        <w:t>What is the three-year ambition for the women’s health portfolio beyond Duphaston?</w:t>
      </w:r>
    </w:p>
    <w:p>
      <w:pPr>
        <w:pStyle w:val="ListNumber"/>
        <w:spacing w:after="60"/>
        <w:ind w:left="389" w:hanging="259"/>
      </w:pPr>
      <w:r>
        <w:rPr>
          <w:rFonts w:ascii="Arial" w:hAnsi="Arial"/>
          <w:color w:val="000000"/>
          <w:sz w:val="20"/>
        </w:rPr>
        <w:t>How many of the five FY26 launches can exceed ₹100 crore, and over what time frame?</w:t>
      </w:r>
    </w:p>
    <w:p>
      <w:pPr>
        <w:pStyle w:val="ListNumber"/>
        <w:spacing w:after="60"/>
        <w:ind w:left="389" w:hanging="259"/>
      </w:pPr>
      <w:r>
        <w:rPr>
          <w:rFonts w:ascii="Arial" w:hAnsi="Arial"/>
          <w:color w:val="000000"/>
          <w:sz w:val="20"/>
        </w:rPr>
        <w:t>What is the intended use of the more than ₹4,000 crore net cash-like balance after the FY26 dividend?</w:t>
      </w:r>
    </w:p>
    <w:p>
      <w:pPr>
        <w:pStyle w:val="Heading1"/>
      </w:pPr>
      <w:r>
        <w:rPr>
          <w:rFonts w:ascii="Arial" w:hAnsi="Arial"/>
          <w:b/>
          <w:color w:val="000000"/>
          <w:sz w:val="32"/>
        </w:rPr>
        <w:t>What the primer implies before modelling</w:t>
      </w:r>
    </w:p>
    <w:p>
      <w:pPr>
        <w:keepLines w:val="0"/>
      </w:pPr>
      <w:r>
        <w:rPr>
          <w:rFonts w:ascii="Arial" w:hAnsi="Arial"/>
          <w:color w:val="000000"/>
          <w:sz w:val="21"/>
        </w:rPr>
        <w:t>Abbott India deserves to be modelled as a brand-compounding platform with a highly profitable legacy base and a partnership-led renewal engine. The legacy portfolio provides earnings visibility; the launch portfolio determines whether revenue can continue to outgrow the IPM. The biggest analytical trap is to overstate the pipeline by importing products from the global Abbott portfolio or the ABT market-data bucket. The second is to treat Extensior revenue as if it carries legacy-brand margins.</w:t>
      </w:r>
    </w:p>
    <w:p>
      <w:pPr>
        <w:keepLines w:val="0"/>
      </w:pPr>
      <w:r>
        <w:rPr>
          <w:rFonts w:ascii="Arial" w:hAnsi="Arial"/>
          <w:color w:val="000000"/>
          <w:sz w:val="21"/>
        </w:rPr>
        <w:t>A defensible base case should begin with high-single-digit growth for the established portfolio, add only confirmed launches, and hold consolidated margin near current levels until evidence supports further expansion. Upside should come from faster GLP-1 adoption, GI lifecycle extensions and sustained Thyronorm or Udiliv share gains. Downside should focus on DPCO, generic pressure in women’s health, partner-product dilution and a slower replacement of mature brands. This framing keeps the model tied to legal ownership, prescribing behavior and actual profit retention.</w:t>
      </w:r>
    </w:p>
    <w:p>
      <w:r>
        <w:br w:type="page"/>
      </w:r>
    </w:p>
    <w:p>
      <w:pPr>
        <w:pStyle w:val="Heading1"/>
      </w:pPr>
      <w:r>
        <w:rPr>
          <w:rFonts w:ascii="Arial" w:hAnsi="Arial"/>
          <w:b/>
          <w:color w:val="000000"/>
          <w:sz w:val="32"/>
        </w:rPr>
        <w:t>Source notes</w:t>
      </w:r>
    </w:p>
    <w:p>
      <w:pPr>
        <w:pStyle w:val="SourceNote"/>
      </w:pPr>
      <w:r>
        <w:rPr>
          <w:rFonts w:ascii="Arial" w:hAnsi="Arial"/>
          <w:b/>
          <w:color w:val="404040"/>
          <w:sz w:val="14"/>
        </w:rPr>
        <w:t xml:space="preserve">[1] </w:t>
      </w:r>
      <w:r>
        <w:rPr>
          <w:rFonts w:ascii="Arial" w:hAnsi="Arial"/>
          <w:color w:val="404040"/>
          <w:sz w:val="14"/>
        </w:rPr>
        <w:t>Abbott India Limited Annual Report 2025 26, especially company overview pages 5 to 7, business review pages 18 to 40, financial review pages 42 to 47, business responsibility pages 96 to 108, audited financial statements pages 175 to 235. https://www.abbott.co.in/investor-relations/financials/annual-reports.html</w:t>
      </w:r>
    </w:p>
    <w:p>
      <w:pPr>
        <w:pStyle w:val="SourceNote"/>
      </w:pPr>
      <w:r>
        <w:rPr>
          <w:rFonts w:ascii="Arial" w:hAnsi="Arial"/>
          <w:b/>
          <w:color w:val="404040"/>
          <w:sz w:val="14"/>
        </w:rPr>
        <w:t xml:space="preserve">[2] </w:t>
      </w:r>
      <w:r>
        <w:rPr>
          <w:rFonts w:ascii="Arial" w:hAnsi="Arial"/>
          <w:color w:val="404040"/>
          <w:sz w:val="14"/>
        </w:rPr>
        <w:t>Abbott press release, Abbott partners with Novo Nordisk India to launch Extensior, 27 February 2026. https://www.abbott.in/media-center/press-releases/abbott-partners-with-novo-nordisk-india-to-launch-extensior-broadening-access-to-semaglutide-ozempic-for-advanced-diabetes-management.html</w:t>
      </w:r>
    </w:p>
    <w:p>
      <w:pPr>
        <w:pStyle w:val="SourceNote"/>
      </w:pPr>
      <w:r>
        <w:rPr>
          <w:rFonts w:ascii="Arial" w:hAnsi="Arial"/>
          <w:b/>
          <w:color w:val="404040"/>
          <w:sz w:val="14"/>
        </w:rPr>
        <w:t xml:space="preserve">[3] </w:t>
      </w:r>
      <w:r>
        <w:rPr>
          <w:rFonts w:ascii="Arial" w:hAnsi="Arial"/>
          <w:color w:val="404040"/>
          <w:sz w:val="14"/>
        </w:rPr>
        <w:t>India IPM GSK Pfizer Abbott Initiation Analysis Aug 2026, user-supplied workbook prepared 23 September 2026. The workbook uses vendor market data through August 2026, applies clean listed-entity mapping and flags incomplete brand coverage and growth-reconciliation limitations.</w:t>
      </w:r>
    </w:p>
    <w:p>
      <w:pPr>
        <w:pStyle w:val="SourceNote"/>
      </w:pPr>
      <w:r>
        <w:rPr>
          <w:rFonts w:ascii="Arial" w:hAnsi="Arial"/>
          <w:b/>
          <w:color w:val="404040"/>
          <w:sz w:val="14"/>
        </w:rPr>
        <w:t xml:space="preserve">[4] </w:t>
      </w:r>
      <w:r>
        <w:rPr>
          <w:rFonts w:ascii="Arial" w:hAnsi="Arial"/>
          <w:color w:val="404040"/>
          <w:sz w:val="14"/>
        </w:rPr>
        <w:t>Reuters, Novo Nordisk patent expiry opens door to cheaper weight loss drugs in India, 19 March 2026. https://www.reuters.com/business/healthcare-pharmaceuticals/novo-nordisk-patent-expiry-opens-door-cheaper-weight-loss-drugs-india-2026-03-19/</w:t>
      </w:r>
    </w:p>
    <w:p>
      <w:pPr>
        <w:pStyle w:val="SourceNote"/>
      </w:pPr>
      <w:r>
        <w:rPr>
          <w:rFonts w:ascii="Arial" w:hAnsi="Arial"/>
          <w:b/>
          <w:color w:val="404040"/>
          <w:sz w:val="14"/>
        </w:rPr>
        <w:t xml:space="preserve">[5] </w:t>
      </w:r>
      <w:r>
        <w:rPr>
          <w:rFonts w:ascii="Arial" w:hAnsi="Arial"/>
          <w:color w:val="404040"/>
          <w:sz w:val="14"/>
        </w:rPr>
        <w:t>Reuters, Drugmaker Abbott India posts Q4 profit rise on higher sales, 9 May 2024, including discussion of NLEM price caps. https://www.reuters.com/business/healthcare-pharmaceuticals/drugmaker-abbott-india-posts-q4-profit-rise-higher-sales-2024-05-09/</w:t>
      </w:r>
    </w:p>
    <w:p>
      <w:pPr>
        <w:pStyle w:val="Heading2"/>
      </w:pPr>
      <w:r>
        <w:rPr>
          <w:rFonts w:ascii="Arial" w:hAnsi="Arial"/>
          <w:b/>
          <w:color w:val="000000"/>
          <w:sz w:val="25"/>
        </w:rPr>
        <w:t>Analytical conventions</w:t>
      </w:r>
    </w:p>
    <w:p>
      <w:pPr>
        <w:keepLines w:val="0"/>
      </w:pPr>
      <w:r>
        <w:rPr>
          <w:rFonts w:ascii="Arial" w:hAnsi="Arial"/>
          <w:color w:val="000000"/>
          <w:sz w:val="21"/>
        </w:rPr>
        <w:t>All rupee figures are in crore unless stated. FY26 refers to the year ended 31 March 2026. EBITDA is the company-defined measure used in the annual report. Gross-margin proxy equals revenue from operations less material cost, divided by revenue from operations. Net cash-like resources equal cash, current bank deposits and long-term term deposits less lease liabilities; the measure is an analytical calculation rather than a company-defined metric. Product revenue estimates from market data are not company disclosures and are identified as market estimates. Clinical descriptions are for commercial analysis and are not medical guidance.</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Abbott India Limited   Business Primer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30" w:line="240" w:lineRule="auto"/>
    </w:pPr>
    <w:rPr>
      <w:rFonts w:ascii="Arial" w:hAnsi="Arial"/>
      <w:color w:val="595959"/>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Abbott India Business Primer</dc:title>
  <dc:subject>First principles business and earnings framework</dc:subject>
  <dc:creator>Healthcare Research</dc:creator>
  <cp:keywords>Abbott India pharmaceuticals primer therapy brands financials</cp:keywords>
  <dc:description>generated by python-docx</dc:description>
  <cp:lastModifiedBy/>
  <cp:revision>1</cp:revision>
  <dcterms:created xsi:type="dcterms:W3CDTF">2013-12-23T23:15:00Z</dcterms:created>
  <dcterms:modified xsi:type="dcterms:W3CDTF">2013-12-23T23:15:00Z</dcterms:modified>
  <cp:category/>
</cp:coreProperties>
</file>