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788F" w:rsidRDefault="00D92E20">
      <w:r>
        <w:t xml:space="preserve">The sector is firmly in a </w:t>
      </w:r>
      <w:r w:rsidRPr="00D92E20">
        <w:rPr>
          <w:rStyle w:val="Strong"/>
          <w:b w:val="0"/>
          <w:bCs w:val="0"/>
        </w:rPr>
        <w:t>capex upcycle</w:t>
      </w:r>
      <w:r>
        <w:t xml:space="preserve">: large private chains plan to add more than </w:t>
      </w:r>
      <w:r w:rsidRPr="00D92E20">
        <w:rPr>
          <w:rStyle w:val="Strong"/>
          <w:b w:val="0"/>
          <w:bCs w:val="0"/>
        </w:rPr>
        <w:t>34,000 beds during FY26–30</w:t>
      </w:r>
      <w:r>
        <w:t xml:space="preserve">, equivalent to </w:t>
      </w:r>
      <w:r w:rsidRPr="00D92E20">
        <w:rPr>
          <w:rStyle w:val="Strong"/>
          <w:b w:val="0"/>
          <w:bCs w:val="0"/>
        </w:rPr>
        <w:t>48–50% of existing capacity</w:t>
      </w:r>
      <w:r>
        <w:t xml:space="preserve">. Revenue growth remains structurally strong, but </w:t>
      </w:r>
      <w:proofErr w:type="spellStart"/>
      <w:r>
        <w:t>RoCE</w:t>
      </w:r>
      <w:proofErr w:type="spellEnd"/>
      <w:r>
        <w:t xml:space="preserve"> will be temporarily diluted until new hospitals reach adequate occupancy. Brownfield execution and new-bed ramp-up, rather than demand, are now the principal differentiators.</w:t>
      </w:r>
    </w:p>
    <w:p w:rsidR="00D92E20" w:rsidRDefault="00D92E20"/>
    <w:p w:rsidR="00D92E20" w:rsidRDefault="00D92E20">
      <w:r>
        <w:t>Policy remains incrementally supportive following revised CGHS</w:t>
      </w:r>
      <w:r>
        <w:t xml:space="preserve"> (Central Government Health Subsidy)</w:t>
      </w:r>
      <w:r>
        <w:t xml:space="preserve"> rates effective October 2025. International patients are a near-term, company-specific risk: Fortis/IHH has seen weaker UAE and Saudi flows, while Apollo has reported no material decline.</w:t>
      </w:r>
    </w:p>
    <w:p w:rsidR="00D92E20" w:rsidRDefault="00D92E20"/>
    <w:p w:rsidR="00D92E20" w:rsidRDefault="00D92E20">
      <w:pPr>
        <w:rPr>
          <w:b/>
          <w:bCs/>
        </w:rPr>
      </w:pPr>
      <w:r>
        <w:t xml:space="preserve">The sector is </w:t>
      </w:r>
      <w:r w:rsidRPr="00D92E20">
        <w:t xml:space="preserve">firmly in a </w:t>
      </w:r>
      <w:r w:rsidRPr="00D92E20">
        <w:rPr>
          <w:rStyle w:val="Strong"/>
          <w:b w:val="0"/>
          <w:bCs w:val="0"/>
        </w:rPr>
        <w:t>capex upcycle</w:t>
      </w:r>
      <w:r w:rsidRPr="00D92E20">
        <w:t xml:space="preserve">: large private chains plan to add more than </w:t>
      </w:r>
      <w:r w:rsidRPr="00D92E20">
        <w:rPr>
          <w:rStyle w:val="Strong"/>
          <w:b w:val="0"/>
          <w:bCs w:val="0"/>
        </w:rPr>
        <w:t>34,000 beds during FY26–30</w:t>
      </w:r>
      <w:r w:rsidRPr="00D92E20">
        <w:t xml:space="preserve">, equivalent to </w:t>
      </w:r>
      <w:r w:rsidRPr="00D92E20">
        <w:rPr>
          <w:rStyle w:val="Strong"/>
          <w:b w:val="0"/>
          <w:bCs w:val="0"/>
        </w:rPr>
        <w:t>48–50% of existing capacity</w:t>
      </w:r>
      <w:r w:rsidRPr="00D92E20">
        <w:rPr>
          <w:b/>
          <w:bCs/>
        </w:rPr>
        <w:t>.</w:t>
      </w:r>
    </w:p>
    <w:p w:rsidR="00D92E20" w:rsidRDefault="00D92E20">
      <w:pPr>
        <w:rPr>
          <w:b/>
          <w:bCs/>
        </w:rPr>
      </w:pPr>
    </w:p>
    <w:p w:rsidR="00D92E20" w:rsidRDefault="00D92E20">
      <w:r>
        <w:t xml:space="preserve">Occupancy should be broadly stable sequentially: approximately </w:t>
      </w:r>
      <w:r>
        <w:rPr>
          <w:rStyle w:val="Strong"/>
        </w:rPr>
        <w:t>68% at Apollo and Fortis, 75% at Max, 62% at KIMS and 60% at Jupiter</w:t>
      </w:r>
      <w:r>
        <w:t xml:space="preserve">. ARPOB should rise </w:t>
      </w:r>
      <w:r>
        <w:rPr>
          <w:rStyle w:val="Strong"/>
        </w:rPr>
        <w:t xml:space="preserve">1–5% </w:t>
      </w:r>
      <w:proofErr w:type="spellStart"/>
      <w:r>
        <w:rPr>
          <w:rStyle w:val="Strong"/>
        </w:rPr>
        <w:t>QoQ</w:t>
      </w:r>
      <w:proofErr w:type="spellEnd"/>
      <w:r>
        <w:t>, supported by case mix and pricing</w:t>
      </w:r>
    </w:p>
    <w:p w:rsidR="00D92E20" w:rsidRDefault="00D92E20"/>
    <w:p w:rsidR="00D92E20" w:rsidRDefault="00D92E20">
      <w:r>
        <w:t xml:space="preserve">We expect a healthy quarter, with </w:t>
      </w:r>
      <w:r>
        <w:rPr>
          <w:rStyle w:val="Strong"/>
        </w:rPr>
        <w:t>r</w:t>
      </w:r>
      <w:r w:rsidRPr="00D92E20">
        <w:rPr>
          <w:rStyle w:val="Strong"/>
          <w:b w:val="0"/>
          <w:bCs w:val="0"/>
        </w:rPr>
        <w:t>eported sector revenue and EBITDA growth of approximately 22–23% YoY</w:t>
      </w:r>
      <w:r>
        <w:t xml:space="preserve">. Excluding Narayana’s UK acquisition, underlying growth is closer to </w:t>
      </w:r>
      <w:r w:rsidRPr="00D92E20">
        <w:rPr>
          <w:rStyle w:val="Strong"/>
          <w:b w:val="0"/>
          <w:bCs w:val="0"/>
        </w:rPr>
        <w:t>16–17% for revenue and 17–18% for EBITDA</w:t>
      </w:r>
      <w:r w:rsidRPr="00D92E20">
        <w:rPr>
          <w:b/>
          <w:bCs/>
        </w:rPr>
        <w:t xml:space="preserve">. </w:t>
      </w:r>
      <w:r w:rsidRPr="00D92E20">
        <w:rPr>
          <w:rStyle w:val="Strong"/>
          <w:b w:val="0"/>
          <w:bCs w:val="0"/>
        </w:rPr>
        <w:t>Narayana and Rainbow should lead earnings growth:</w:t>
      </w:r>
      <w:r w:rsidRPr="00D92E20">
        <w:rPr>
          <w:b/>
          <w:bCs/>
        </w:rPr>
        <w:t xml:space="preserve"> </w:t>
      </w:r>
      <w:r>
        <w:t xml:space="preserve">Narayana is expected to deliver approximately </w:t>
      </w:r>
      <w:r w:rsidRPr="00D92E20">
        <w:rPr>
          <w:rStyle w:val="Strong"/>
          <w:b w:val="0"/>
          <w:bCs w:val="0"/>
        </w:rPr>
        <w:t>75% revenue</w:t>
      </w:r>
      <w:r w:rsidRPr="00D92E20">
        <w:rPr>
          <w:rStyle w:val="Strong"/>
          <w:b w:val="0"/>
          <w:bCs w:val="0"/>
        </w:rPr>
        <w:t xml:space="preserve"> (Inorganic)</w:t>
      </w:r>
      <w:r w:rsidRPr="00D92E20">
        <w:rPr>
          <w:rStyle w:val="Strong"/>
          <w:b w:val="0"/>
          <w:bCs w:val="0"/>
        </w:rPr>
        <w:t>and 52% EBITDA growth</w:t>
      </w:r>
      <w:r w:rsidRPr="00D92E20">
        <w:rPr>
          <w:b/>
          <w:bCs/>
        </w:rPr>
        <w:t>,</w:t>
      </w:r>
      <w:r>
        <w:t xml:space="preserve"> although underlying EBITDA growth is closer to 25%; Rainbow should deliver approximately </w:t>
      </w:r>
      <w:r>
        <w:rPr>
          <w:rStyle w:val="Strong"/>
        </w:rPr>
        <w:t>30% growth in both revenue and EBITDA</w:t>
      </w:r>
      <w:r>
        <w:t xml:space="preserve"> as recent capacity ramps up. Apollo should also report strong consolidated EBITDA growth of approximately </w:t>
      </w:r>
      <w:r>
        <w:rPr>
          <w:rStyle w:val="Strong"/>
        </w:rPr>
        <w:t>24%</w:t>
      </w:r>
      <w:r>
        <w:t xml:space="preserve">, supported by </w:t>
      </w:r>
      <w:proofErr w:type="spellStart"/>
      <w:r>
        <w:t>HealthCo</w:t>
      </w:r>
      <w:proofErr w:type="spellEnd"/>
      <w:r>
        <w:t xml:space="preserve">, although hospital EBITDA growth should be nearer 14%. </w:t>
      </w:r>
    </w:p>
    <w:p w:rsidR="00D92E20" w:rsidRDefault="00D92E20"/>
    <w:p w:rsidR="00D92E20" w:rsidRPr="00D92E20" w:rsidRDefault="00D92E20">
      <w:pPr>
        <w:rPr>
          <w:b/>
          <w:bCs/>
        </w:rPr>
      </w:pPr>
      <w:r>
        <w:rPr>
          <w:rStyle w:val="Strong"/>
        </w:rPr>
        <w:t>Jupiter is expected to be the clear EBITDA laggard at approximately 7% growth</w:t>
      </w:r>
      <w:r>
        <w:t xml:space="preserve">, followed by KIMS, Max and Fortis at approximately </w:t>
      </w:r>
      <w:r>
        <w:rPr>
          <w:rStyle w:val="Strong"/>
        </w:rPr>
        <w:t>13–14%</w:t>
      </w:r>
      <w:r>
        <w:t>, due to new-hospital losses</w:t>
      </w:r>
      <w:r>
        <w:t xml:space="preserve"> (Such as people tree by Fortis)</w:t>
      </w:r>
      <w:r>
        <w:t>, oncology-related headwinds and elevated clinical costs. KIMS should nevertheless be among the revenue-growth leaders at approximately 28%, highlighting the near-term disconnect between capacity-led revenue growth and profitability</w:t>
      </w:r>
    </w:p>
    <w:sectPr w:rsidR="00D92E20" w:rsidRPr="00D92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20"/>
    <w:rsid w:val="007B788F"/>
    <w:rsid w:val="0098646A"/>
    <w:rsid w:val="00D9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65B5DF"/>
  <w15:chartTrackingRefBased/>
  <w15:docId w15:val="{8FD228EB-1803-E54E-809A-26AC0540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92E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1</cp:revision>
  <dcterms:created xsi:type="dcterms:W3CDTF">2026-07-21T13:22:00Z</dcterms:created>
  <dcterms:modified xsi:type="dcterms:W3CDTF">2026-07-21T13:29:00Z</dcterms:modified>
</cp:coreProperties>
</file>