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Abbott India key brand slide copy</w:t>
      </w:r>
    </w:p>
    <w:p>
      <w:pPr>
        <w:pStyle w:val="Heading1"/>
      </w:pPr>
      <w:r>
        <w:t>Thyronorm</w:t>
      </w:r>
    </w:p>
    <w:p>
      <w:pPr>
        <w:pStyle w:val="ListBullet"/>
        <w:widowControl/>
      </w:pPr>
      <w:r>
        <w:t>Thyronorm replaces deficient thyroid hormone. Repeat demand supports the base, but growth requires more patients to start and stay on treatment.</w:t>
      </w:r>
    </w:p>
    <w:p>
      <w:pPr>
        <w:pStyle w:val="ListBullet"/>
        <w:widowControl/>
      </w:pPr>
      <w:r>
        <w:t>Key strengths face NPPA price caps, with annual revisions linked to WPI. Limited pricing freedom makes patient additions and retention central to the growth case.</w:t>
      </w:r>
    </w:p>
    <w:p>
      <w:pPr>
        <w:pStyle w:val="ListBullet"/>
        <w:widowControl/>
      </w:pPr>
      <w:r>
        <w:t>New strengths aid dose titration but do not open a new therapy market. We expect steady growth, with limited scope for acceleration.</w:t>
      </w:r>
    </w:p>
    <w:p>
      <w:pPr>
        <w:pStyle w:val="Heading1"/>
      </w:pPr>
      <w:r>
        <w:t>Udiliv</w:t>
      </w:r>
    </w:p>
    <w:p>
      <w:pPr>
        <w:pStyle w:val="ListBullet"/>
        <w:widowControl/>
      </w:pPr>
      <w:r>
        <w:t>Udiliv is ursodeoxycholic acid, an established liver-care molecule.</w:t>
      </w:r>
    </w:p>
    <w:p>
      <w:pPr>
        <w:pStyle w:val="ListBullet"/>
        <w:widowControl/>
      </w:pPr>
      <w:r>
        <w:t>Fatty-liver prevalence overstates its opportunity: EASL finds no proven histological benefit for UDCA in MASH.</w:t>
      </w:r>
    </w:p>
    <w:p>
      <w:pPr>
        <w:pStyle w:val="ListBullet"/>
        <w:widowControl/>
      </w:pPr>
      <w:r>
        <w:t>Growth needs more sustained prescriptions. A larger fatty-liver population alone does not ensure faster sales.</w:t>
      </w:r>
    </w:p>
    <w:p>
      <w:pPr>
        <w:pStyle w:val="Heading1"/>
      </w:pPr>
      <w:r>
        <w:t>Duphaston and Femoston</w:t>
      </w:r>
    </w:p>
    <w:p>
      <w:pPr>
        <w:pStyle w:val="ListBullet"/>
        <w:widowControl/>
      </w:pPr>
      <w:r>
        <w:t>Duphaston is dydrogesterone; Femoston adds exposure to menopause treatment.</w:t>
      </w:r>
    </w:p>
    <w:p>
      <w:pPr>
        <w:pStyle w:val="ListBullet"/>
        <w:widowControl/>
      </w:pPr>
      <w:r>
        <w:t>Cheaper generics pressure Duphaston’s premium. Mankind’s BSV portfolio expands fertility-specialist access, potentially raising the investment needed to defend prescriptions.</w:t>
      </w:r>
    </w:p>
    <w:p>
      <w:pPr>
        <w:pStyle w:val="ListBullet"/>
        <w:widowControl/>
      </w:pPr>
      <w:r>
        <w:t>Femoston offers an offset, but we expect gradual growth across the combined franchise.</w:t>
      </w:r>
    </w:p>
    <w:p>
      <w:pPr>
        <w:pStyle w:val="Heading1"/>
      </w:pPr>
      <w:r>
        <w:t>Sources</w:t>
      </w:r>
    </w:p>
    <w:p>
      <w:pPr>
        <w:spacing w:after="40" w:line="240" w:lineRule="auto"/>
      </w:pPr>
      <w:r>
        <w:rPr>
          <w:sz w:val="17"/>
        </w:rPr>
        <w:t xml:space="preserve">Thyronorm: </w:t>
      </w:r>
      <w:hyperlink r:id="rId9">
        <w:r>
          <w:rPr>
            <w:sz w:val="17"/>
            <w:color w:val="000000"/>
          </w:rPr>
          <w:t>NICE thyroid guidance</w:t>
        </w:r>
      </w:hyperlink>
    </w:p>
    <w:p>
      <w:pPr>
        <w:spacing w:after="40" w:line="240" w:lineRule="auto"/>
      </w:pPr>
      <w:r>
        <w:rPr>
          <w:sz w:val="17"/>
        </w:rPr>
        <w:t xml:space="preserve">Pricing: </w:t>
      </w:r>
      <w:hyperlink r:id="rId10">
        <w:r>
          <w:rPr>
            <w:sz w:val="17"/>
            <w:color w:val="000000"/>
          </w:rPr>
          <w:t>NPPA levothyroxine schedule</w:t>
        </w:r>
      </w:hyperlink>
    </w:p>
    <w:p>
      <w:pPr>
        <w:spacing w:after="40" w:line="240" w:lineRule="auto"/>
      </w:pPr>
      <w:r>
        <w:rPr>
          <w:sz w:val="17"/>
        </w:rPr>
        <w:t xml:space="preserve">Pricing rules: </w:t>
      </w:r>
      <w:hyperlink r:id="rId11">
        <w:r>
          <w:rPr>
            <w:sz w:val="17"/>
            <w:color w:val="000000"/>
          </w:rPr>
          <w:t>Department of Pharmaceuticals DPCO explanation</w:t>
        </w:r>
      </w:hyperlink>
    </w:p>
    <w:p>
      <w:pPr>
        <w:spacing w:after="40" w:line="240" w:lineRule="auto"/>
      </w:pPr>
      <w:r>
        <w:rPr>
          <w:sz w:val="17"/>
        </w:rPr>
        <w:t xml:space="preserve">Udiliv: </w:t>
      </w:r>
      <w:hyperlink r:id="rId12">
        <w:r>
          <w:rPr>
            <w:sz w:val="17"/>
            <w:color w:val="000000"/>
          </w:rPr>
          <w:t>EASL–EASD–EASO 2024 guidelines, UDCA section</w:t>
        </w:r>
      </w:hyperlink>
    </w:p>
    <w:p>
      <w:pPr>
        <w:spacing w:after="40" w:line="240" w:lineRule="auto"/>
      </w:pPr>
      <w:r>
        <w:rPr>
          <w:sz w:val="17"/>
        </w:rPr>
        <w:t xml:space="preserve">Women’s health: </w:t>
      </w:r>
      <w:hyperlink r:id="rId13">
        <w:r>
          <w:rPr>
            <w:sz w:val="17"/>
            <w:color w:val="000000"/>
          </w:rPr>
          <w:t>Abbott FY26 annual report, printed pp24–25</w:t>
        </w:r>
      </w:hyperlink>
    </w:p>
    <w:p>
      <w:pPr>
        <w:spacing w:after="40" w:line="240" w:lineRule="auto"/>
      </w:pPr>
      <w:r>
        <w:rPr>
          <w:sz w:val="17"/>
        </w:rPr>
        <w:t xml:space="preserve">Specialist access: </w:t>
      </w:r>
      <w:hyperlink r:id="rId14">
        <w:r>
          <w:rPr>
            <w:sz w:val="17"/>
            <w:color w:val="000000"/>
          </w:rPr>
          <w:t>Mankind Q1FY27 call, transcript p17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ind w:left="230" w:hanging="202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ice.org.uk/guidance/NG145/chapter/recommendations" TargetMode="External"/><Relationship Id="rId10" Type="http://schemas.openxmlformats.org/officeDocument/2006/relationships/hyperlink" Target="https://nppa.gov.in/en/levothyroxine-18" TargetMode="External"/><Relationship Id="rId11" Type="http://schemas.openxmlformats.org/officeDocument/2006/relationships/hyperlink" Target="https://www.pib.gov.in/PressReleasePage.aspx?PRID=2154217&amp;lang=2&amp;reg=3" TargetMode="External"/><Relationship Id="rId12" Type="http://schemas.openxmlformats.org/officeDocument/2006/relationships/hyperlink" Target="https://karger.com/ofa/article/17/4/374/908875/EASL-EASD-EASO-Clinical-Practice-Guidelines-on-the" TargetMode="External"/><Relationship Id="rId13" Type="http://schemas.openxmlformats.org/officeDocument/2006/relationships/hyperlink" Target="https://www.abbott.co.in/content/dam/corp/abbott/en-ind/pdf/financials/2025-26-Annual-Report.pdf" TargetMode="External"/><Relationship Id="rId14" Type="http://schemas.openxmlformats.org/officeDocument/2006/relationships/hyperlink" Target="https://nsearchives.nseindia.com/corporate/MANKIND1_04082026131209_EarningCallFi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Abbott India key brand slide copy</dc:title>
  <dc:subject/>
  <dc:creator>Shirsh Sawarna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