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71CC1" w:rsidRDefault="00771CC1" w:rsidP="00771CC1">
      <w:pPr>
        <w:pStyle w:val="NormalWeb"/>
      </w:pPr>
      <w:r>
        <w:t>Nexplanon is Organon’s highest-quality Women’s Health asset and the key product to underwrite in the Sun Pharma transaction. It is a single-rod, subdermal, long-acting reversible contraceptive implant containing etonogestrel 68 mg, inserted and removed by a trained healthcare professional. In simple terms, it provides multi-year pregnancy prevention without daily pill adherence, making it clinically differentiated and commercially stickier than oral contraception. The U.S. market remains structurally attractive: of c.76 million U.S. females aged 15-49, c.54% use contraception, LARCs account for c.10.5% of all females in this age group, and implants represent c.29.5% of LARC users, or c.2.35 million people. Nexplanon is also the only U.S. subdermal implant, with Implanon discontinued and no U.S. generic expected until at least the Oct 2027 30-month stay window. The near-term issue is not demand impairment, but replacement-cycle disruption. The January 2026 FDA label expansion from three years to up to five years reduces steady-state annual replacement demand from c.33% of the installed base to c.20%, while users who would have replaced at year three are now deferred toward year five. This explains the sharp Q1 2026 U.S. weakness and management’s comment that physician demand declined following the five-year label approval due to delayed reinsertions. Our base case therefore assumes U.S. Nexplanon revenue steps down from $610 million in 2025A to $442 million in 2026E and $397 million in 2027E, before recovering to $446 million in 2029E, followed by a mild step-down to $396 million in 2030E around the ’552 LOE. International sales, by contrast, are expected to grow from $311 million in 2025A to c.$408 million by 2030E, supported by Sun’s emerging-market commercial platform. On this basis, total Nexplanon sales are forecast at $771 million in 2026E, $750 million in 2027E, $790 million in 2028E, $842 million in 2029E and $805 million in 2030E, implying c.$4.0 billion of cumulative 2026-30 revenue. The key point is that Nexplanon is not a simple small-molecule LOE story. The moat reflects the combination of drug-device manufacturing, trained provider insertion and removal, REMS-controlled distribution, procedural risk management, rod and applicator IP, and active generic litigation, with D-199 exclusivity running to January 2029 and ’552 patent protection to July 2030. Bottom line: the 2026-27 weakness is a transition effect, not a product reset. For Sun, the value creation case is to absorb the temporary U.S. reinsertion gap, defend the U.S. moat, and accelerate ex-U.S. penetration through gynecology, institutional and emerging-market execution.</w:t>
      </w:r>
    </w:p>
    <w:p w:rsidR="00C07702" w:rsidRDefault="00C07702">
      <w:pPr>
        <w:pStyle w:val="BodyText"/>
      </w:pPr>
    </w:p>
    <w:sectPr w:rsidR="00C07702">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A3580C1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4000572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6"/>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C07702"/>
    <w:rsid w:val="00771CC1"/>
    <w:rsid w:val="008965E7"/>
    <w:rsid w:val="00C07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A040ABF"/>
  <w15:docId w15:val="{57CE03CF-6A37-954E-82EA-9FD20800B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771CC1"/>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02320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401</Words>
  <Characters>2289</Characters>
  <Application>Microsoft Office Word</Application>
  <DocSecurity>0</DocSecurity>
  <Lines>19</Lines>
  <Paragraphs>5</Paragraphs>
  <ScaleCrop>false</ScaleCrop>
  <Company/>
  <LinksUpToDate>false</LinksUpToDate>
  <CharactersWithSpaces>2685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Shirsh Sawarna</cp:lastModifiedBy>
  <cp:revision>3</cp:revision>
  <dcterms:created xsi:type="dcterms:W3CDTF">2026-06-16T04:07:00Z</dcterms:created>
  <dcterms:modified xsi:type="dcterms:W3CDTF">2026-06-16T10:04:00Z</dcterms:modified>
</cp:coreProperties>
</file>