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0586" w:rsidRDefault="00890586" w:rsidP="00890586">
      <w:pPr>
        <w:pStyle w:val="pdq2pgselectionanchorcontainer"/>
      </w:pPr>
      <w:r>
        <w:t>Anvisa’s approval of five synthetic semaglutide products materially improves Sun Pharma’s positioning in Brazil. Sun has direct exposure through Seemasun and Orsema, with additional manufacturing exposure through Hypera’s Semavy. This gives Sun three routes into the market at an early stage of genericisation. We estimate Brazil’s semaglutide market could reach US$800–900mn by CY30E and expect Sun-linked products to capture approximately 25% share at maturity, supporting potential annual revenue of US$100–150mn after accounting for price erosion, channel deductions and the lower economics on Semavy.</w:t>
      </w:r>
    </w:p>
    <w:p w:rsidR="00890586" w:rsidRDefault="00890586" w:rsidP="00890586">
      <w:pPr>
        <w:pStyle w:val="NormalWeb"/>
      </w:pPr>
      <w:r>
        <w:t>We are positive because Sun’s advantage extends beyond product approval. The company combines peptide drug-substance manufacturing, sterile fill-finish and pen-device capabilities, supporting better cost control, supply reliability and scale-up. Its channel strategy is also sensible: Seemasun and Orsema provide direct commercial control, while Semavy gives Sun access to Hypera’s established Mantecorp franchise and pharmacy network. We see Brazil as an early validation of Sun’s broader emerging-market GLP-1 strategy and an incremental positive for the investment case.</w:t>
      </w:r>
    </w:p>
    <w:p w:rsidR="002C53D1" w:rsidRPr="00890586" w:rsidRDefault="002C53D1" w:rsidP="00890586"/>
    <w:sectPr w:rsidR="002C53D1" w:rsidRPr="008905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CAFA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526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53D1"/>
    <w:rsid w:val="002C53D1"/>
    <w:rsid w:val="00890586"/>
    <w:rsid w:val="008B378A"/>
    <w:rsid w:val="00F6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AFDDF29-F221-F040-8A84-B1F53AF7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8B378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B378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3668">
      <w:bodyDiv w:val="1"/>
      <w:marLeft w:val="0"/>
      <w:marRight w:val="0"/>
      <w:marTop w:val="0"/>
      <w:marBottom w:val="0"/>
      <w:divBdr>
        <w:top w:val="none" w:sz="0" w:space="0" w:color="auto"/>
        <w:left w:val="none" w:sz="0" w:space="0" w:color="auto"/>
        <w:bottom w:val="none" w:sz="0" w:space="0" w:color="auto"/>
        <w:right w:val="none" w:sz="0" w:space="0" w:color="auto"/>
      </w:divBdr>
    </w:div>
    <w:div w:id="3866082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4</cp:revision>
  <dcterms:created xsi:type="dcterms:W3CDTF">1970-01-01T00:00:00Z</dcterms:created>
  <dcterms:modified xsi:type="dcterms:W3CDTF">2026-07-30T06:45:00Z</dcterms:modified>
</cp:coreProperties>
</file>