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2B9C" w:rsidRPr="00712B9C" w:rsidRDefault="00712B9C" w:rsidP="00712B9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2B9C">
        <w:rPr>
          <w:rFonts w:ascii="Times New Roman" w:eastAsia="Times New Roman" w:hAnsi="Times New Roman" w:cs="Times New Roman"/>
          <w:b/>
          <w:bCs/>
          <w:kern w:val="36"/>
          <w:sz w:val="48"/>
          <w:szCs w:val="48"/>
          <w14:ligatures w14:val="none"/>
        </w:rPr>
        <w:t xml:space="preserve">Sun Pharma: </w:t>
      </w:r>
      <w:proofErr w:type="spellStart"/>
      <w:r w:rsidRPr="00712B9C">
        <w:rPr>
          <w:rFonts w:ascii="Times New Roman" w:eastAsia="Times New Roman" w:hAnsi="Times New Roman" w:cs="Times New Roman"/>
          <w:b/>
          <w:bCs/>
          <w:kern w:val="36"/>
          <w:sz w:val="48"/>
          <w:szCs w:val="48"/>
          <w14:ligatures w14:val="none"/>
        </w:rPr>
        <w:t>Nidlegy</w:t>
      </w:r>
      <w:proofErr w:type="spellEnd"/>
      <w:r w:rsidRPr="00712B9C">
        <w:rPr>
          <w:rFonts w:ascii="Times New Roman" w:eastAsia="Times New Roman" w:hAnsi="Times New Roman" w:cs="Times New Roman"/>
          <w:b/>
          <w:bCs/>
          <w:kern w:val="36"/>
          <w:sz w:val="48"/>
          <w:szCs w:val="48"/>
          <w14:ligatures w14:val="none"/>
        </w:rPr>
        <w:t xml:space="preserve"> refiling restores EU optionality; FY28 becomes a regulatory catalyst year</w:t>
      </w:r>
    </w:p>
    <w:p w:rsidR="00712B9C" w:rsidRPr="00712B9C" w:rsidRDefault="00712B9C" w:rsidP="00712B9C">
      <w:pPr>
        <w:spacing w:before="100" w:beforeAutospacing="1" w:after="100" w:afterAutospacing="1"/>
        <w:rPr>
          <w:rFonts w:ascii="Times New Roman" w:eastAsia="Times New Roman" w:hAnsi="Times New Roman" w:cs="Times New Roman"/>
          <w:kern w:val="0"/>
          <w14:ligatures w14:val="none"/>
        </w:rPr>
      </w:pPr>
      <w:proofErr w:type="spellStart"/>
      <w:r w:rsidRPr="00712B9C">
        <w:rPr>
          <w:rFonts w:ascii="Times New Roman" w:eastAsia="Times New Roman" w:hAnsi="Times New Roman" w:cs="Times New Roman"/>
          <w:b/>
          <w:bCs/>
          <w:kern w:val="0"/>
          <w14:ligatures w14:val="none"/>
        </w:rPr>
        <w:t>Nidlegy</w:t>
      </w:r>
      <w:proofErr w:type="spellEnd"/>
      <w:r w:rsidRPr="00712B9C">
        <w:rPr>
          <w:rFonts w:ascii="Times New Roman" w:eastAsia="Times New Roman" w:hAnsi="Times New Roman" w:cs="Times New Roman"/>
          <w:b/>
          <w:bCs/>
          <w:kern w:val="0"/>
          <w14:ligatures w14:val="none"/>
        </w:rPr>
        <w:t xml:space="preserve"> returns to the EMA with a stronger dossier, although the clinical bar remains high.</w:t>
      </w:r>
      <w:r w:rsidRPr="00712B9C">
        <w:rPr>
          <w:rFonts w:ascii="Times New Roman" w:eastAsia="Times New Roman" w:hAnsi="Times New Roman" w:cs="Times New Roman"/>
          <w:kern w:val="0"/>
          <w14:ligatures w14:val="none"/>
        </w:rPr>
        <w:t xml:space="preserve"> </w:t>
      </w: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also known as </w:t>
      </w:r>
      <w:proofErr w:type="spellStart"/>
      <w:r w:rsidRPr="00712B9C">
        <w:rPr>
          <w:rFonts w:ascii="Times New Roman" w:eastAsia="Times New Roman" w:hAnsi="Times New Roman" w:cs="Times New Roman"/>
          <w:kern w:val="0"/>
          <w14:ligatures w14:val="none"/>
        </w:rPr>
        <w:t>Daromun</w:t>
      </w:r>
      <w:proofErr w:type="spellEnd"/>
      <w:r w:rsidRPr="00712B9C">
        <w:rPr>
          <w:rFonts w:ascii="Times New Roman" w:eastAsia="Times New Roman" w:hAnsi="Times New Roman" w:cs="Times New Roman"/>
          <w:kern w:val="0"/>
          <w14:ligatures w14:val="none"/>
        </w:rPr>
        <w:t xml:space="preserve">, is </w:t>
      </w:r>
      <w:proofErr w:type="spellStart"/>
      <w:r w:rsidRPr="00712B9C">
        <w:rPr>
          <w:rFonts w:ascii="Times New Roman" w:eastAsia="Times New Roman" w:hAnsi="Times New Roman" w:cs="Times New Roman"/>
          <w:kern w:val="0"/>
          <w14:ligatures w14:val="none"/>
        </w:rPr>
        <w:t>Philogen’s</w:t>
      </w:r>
      <w:proofErr w:type="spellEnd"/>
      <w:r w:rsidRPr="00712B9C">
        <w:rPr>
          <w:rFonts w:ascii="Times New Roman" w:eastAsia="Times New Roman" w:hAnsi="Times New Roman" w:cs="Times New Roman"/>
          <w:kern w:val="0"/>
          <w14:ligatures w14:val="none"/>
        </w:rPr>
        <w:t xml:space="preserve"> locally administered immunotherapy for skin cancer. It combines two </w:t>
      </w:r>
      <w:proofErr w:type="spellStart"/>
      <w:r w:rsidRPr="00712B9C">
        <w:rPr>
          <w:rFonts w:ascii="Times New Roman" w:eastAsia="Times New Roman" w:hAnsi="Times New Roman" w:cs="Times New Roman"/>
          <w:kern w:val="0"/>
          <w14:ligatures w14:val="none"/>
        </w:rPr>
        <w:t>tumour</w:t>
      </w:r>
      <w:proofErr w:type="spellEnd"/>
      <w:r w:rsidRPr="00712B9C">
        <w:rPr>
          <w:rFonts w:ascii="Times New Roman" w:eastAsia="Times New Roman" w:hAnsi="Times New Roman" w:cs="Times New Roman"/>
          <w:kern w:val="0"/>
          <w14:ligatures w14:val="none"/>
        </w:rPr>
        <w:t xml:space="preserve">-targeted </w:t>
      </w:r>
      <w:proofErr w:type="spellStart"/>
      <w:r w:rsidRPr="00712B9C">
        <w:rPr>
          <w:rFonts w:ascii="Times New Roman" w:eastAsia="Times New Roman" w:hAnsi="Times New Roman" w:cs="Times New Roman"/>
          <w:kern w:val="0"/>
          <w14:ligatures w14:val="none"/>
        </w:rPr>
        <w:t>immunocytokines</w:t>
      </w:r>
      <w:proofErr w:type="spellEnd"/>
      <w:r w:rsidRPr="00712B9C">
        <w:rPr>
          <w:rFonts w:ascii="Times New Roman" w:eastAsia="Times New Roman" w:hAnsi="Times New Roman" w:cs="Times New Roman"/>
          <w:kern w:val="0"/>
          <w14:ligatures w14:val="none"/>
        </w:rPr>
        <w:t xml:space="preserve">, L19IL2 and L19TNF, which are manufactured separately, mixed before use and injected directly into accessible melanoma lesions once weekly for up to four weeks before surgery. The initial indication covers adults with locally advanced, fully </w:t>
      </w:r>
      <w:proofErr w:type="spellStart"/>
      <w:r w:rsidRPr="00712B9C">
        <w:rPr>
          <w:rFonts w:ascii="Times New Roman" w:eastAsia="Times New Roman" w:hAnsi="Times New Roman" w:cs="Times New Roman"/>
          <w:kern w:val="0"/>
          <w14:ligatures w14:val="none"/>
        </w:rPr>
        <w:t>resectable</w:t>
      </w:r>
      <w:proofErr w:type="spellEnd"/>
      <w:r w:rsidRPr="00712B9C">
        <w:rPr>
          <w:rFonts w:ascii="Times New Roman" w:eastAsia="Times New Roman" w:hAnsi="Times New Roman" w:cs="Times New Roman"/>
          <w:kern w:val="0"/>
          <w14:ligatures w14:val="none"/>
        </w:rPr>
        <w:t xml:space="preserve"> melanoma, including cutaneous, subcutaneous and nodal lesions that can be injected. Sun Pharma licensed exclusive commercialization rights for skin-cancer indications in Europe, Australia and New Zealand in May 2023. </w:t>
      </w:r>
      <w:proofErr w:type="spellStart"/>
      <w:r w:rsidRPr="00712B9C">
        <w:rPr>
          <w:rFonts w:ascii="Times New Roman" w:eastAsia="Times New Roman" w:hAnsi="Times New Roman" w:cs="Times New Roman"/>
          <w:kern w:val="0"/>
          <w14:ligatures w14:val="none"/>
        </w:rPr>
        <w:t>Philogen</w:t>
      </w:r>
      <w:proofErr w:type="spellEnd"/>
      <w:r w:rsidRPr="00712B9C">
        <w:rPr>
          <w:rFonts w:ascii="Times New Roman" w:eastAsia="Times New Roman" w:hAnsi="Times New Roman" w:cs="Times New Roman"/>
          <w:kern w:val="0"/>
          <w14:ligatures w14:val="none"/>
        </w:rPr>
        <w:t xml:space="preserve"> retains responsibility for development, regulatory filings and manufacturing, while Sun commercializes the product and receives approximately half of the post-commercialization economics. The original European application, filed in June 2024, was supported by the 256-patient Phase III PIVOTAL trial, where </w:t>
      </w: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reported a 41% reduction in the risk of recurrence or death versus surgery alone. </w:t>
      </w:r>
      <w:proofErr w:type="spellStart"/>
      <w:r w:rsidRPr="00712B9C">
        <w:rPr>
          <w:rFonts w:ascii="Times New Roman" w:eastAsia="Times New Roman" w:hAnsi="Times New Roman" w:cs="Times New Roman"/>
          <w:kern w:val="0"/>
          <w14:ligatures w14:val="none"/>
        </w:rPr>
        <w:t>Philogen</w:t>
      </w:r>
      <w:proofErr w:type="spellEnd"/>
      <w:r w:rsidRPr="00712B9C">
        <w:rPr>
          <w:rFonts w:ascii="Times New Roman" w:eastAsia="Times New Roman" w:hAnsi="Times New Roman" w:cs="Times New Roman"/>
          <w:kern w:val="0"/>
          <w14:ligatures w14:val="none"/>
        </w:rPr>
        <w:t xml:space="preserve"> withdrew the application in June 2025 after concluding that it could not provide the required CMC and additional clinical information within the regulatory timeline. The withdrawal was therefore procedural in form, although the underlying EMA concerns were substantive. On manufacturing, the regulator questioned the description and validation of the drug-substance and drug-product processes, comparability following the transfer of production to the Rosia facility, and the methods used to establish identity, potency and purity. On efficacy, EMA questioned whether the recurrence-free survival analysis provided a reliable estimate of treatment benefit. Surgery occurred later in the </w:t>
      </w: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arm, patients who did not reach surgery or had residual disease were censored in the primary analysis, the endpoint had been modified during the trial and the surgery-only comparator had become less representative of current practice as checkpoint inhibitors moved into the perioperative setting. Overall survival also remained immature and directionally flat. These concerns are more difficult to address than additional follow-up alone because several relate to the construction and conduct of the original study. The resubmitted dossier attempts to close these gaps through 33 months of median follow-up versus 21 months previously, additional event-free survival analyses, expanded CMC information and supporting efficacy and safety data from the earlier melanoma study, the ongoing </w:t>
      </w:r>
      <w:proofErr w:type="spellStart"/>
      <w:r w:rsidRPr="00712B9C">
        <w:rPr>
          <w:rFonts w:ascii="Times New Roman" w:eastAsia="Times New Roman" w:hAnsi="Times New Roman" w:cs="Times New Roman"/>
          <w:kern w:val="0"/>
          <w14:ligatures w14:val="none"/>
        </w:rPr>
        <w:t>NeoDREAM</w:t>
      </w:r>
      <w:proofErr w:type="spellEnd"/>
      <w:r w:rsidRPr="00712B9C">
        <w:rPr>
          <w:rFonts w:ascii="Times New Roman" w:eastAsia="Times New Roman" w:hAnsi="Times New Roman" w:cs="Times New Roman"/>
          <w:kern w:val="0"/>
          <w14:ligatures w14:val="none"/>
        </w:rPr>
        <w:t xml:space="preserve"> Phase III </w:t>
      </w:r>
      <w:proofErr w:type="spellStart"/>
      <w:r w:rsidRPr="00712B9C">
        <w:rPr>
          <w:rFonts w:ascii="Times New Roman" w:eastAsia="Times New Roman" w:hAnsi="Times New Roman" w:cs="Times New Roman"/>
          <w:kern w:val="0"/>
          <w14:ligatures w14:val="none"/>
        </w:rPr>
        <w:t>programme</w:t>
      </w:r>
      <w:proofErr w:type="spellEnd"/>
      <w:r w:rsidRPr="00712B9C">
        <w:rPr>
          <w:rFonts w:ascii="Times New Roman" w:eastAsia="Times New Roman" w:hAnsi="Times New Roman" w:cs="Times New Roman"/>
          <w:kern w:val="0"/>
          <w14:ligatures w14:val="none"/>
        </w:rPr>
        <w:t xml:space="preserve"> and non-melanoma skin-cancer studies. We believe the updated CMC package can materially improve the approvability of Module 3. The residual risk sits in the clinical package, particularly the </w:t>
      </w:r>
      <w:proofErr w:type="spellStart"/>
      <w:r w:rsidRPr="00712B9C">
        <w:rPr>
          <w:rFonts w:ascii="Times New Roman" w:eastAsia="Times New Roman" w:hAnsi="Times New Roman" w:cs="Times New Roman"/>
          <w:kern w:val="0"/>
          <w14:ligatures w14:val="none"/>
        </w:rPr>
        <w:t>estimand</w:t>
      </w:r>
      <w:proofErr w:type="spellEnd"/>
      <w:r w:rsidRPr="00712B9C">
        <w:rPr>
          <w:rFonts w:ascii="Times New Roman" w:eastAsia="Times New Roman" w:hAnsi="Times New Roman" w:cs="Times New Roman"/>
          <w:kern w:val="0"/>
          <w14:ligatures w14:val="none"/>
        </w:rPr>
        <w:t xml:space="preserve">, censoring and comparator questions. Our base case therefore remains a further round of major objections, with a positive CHMP opinion on the current cycle carrying a relatively low probability of approximately 15%. </w:t>
      </w:r>
    </w:p>
    <w:p w:rsidR="00712B9C" w:rsidRPr="00712B9C" w:rsidRDefault="00712B9C" w:rsidP="00712B9C">
      <w:pPr>
        <w:spacing w:before="100" w:beforeAutospacing="1" w:after="100" w:afterAutospacing="1"/>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The 27 July refiling is directionally positive for Sun, with FY28 likely to be a regulatory catalyst year rather than an earnings year.</w:t>
      </w:r>
      <w:r w:rsidRPr="00712B9C">
        <w:rPr>
          <w:rFonts w:ascii="Times New Roman" w:eastAsia="Times New Roman" w:hAnsi="Times New Roman" w:cs="Times New Roman"/>
          <w:kern w:val="0"/>
          <w14:ligatures w14:val="none"/>
        </w:rPr>
        <w:t xml:space="preserve"> Submission reactivates an asset that consensus largely carries at zero value and gives Sun several visible milestones over the next 18 to 24 months. We expect EMA validation during August or September 2026, the Day 120 list of questions around Q1CY27, outstanding issues and a possible oncology expert-group discussion </w:t>
      </w:r>
      <w:r w:rsidRPr="00712B9C">
        <w:rPr>
          <w:rFonts w:ascii="Times New Roman" w:eastAsia="Times New Roman" w:hAnsi="Times New Roman" w:cs="Times New Roman"/>
          <w:kern w:val="0"/>
          <w14:ligatures w14:val="none"/>
        </w:rPr>
        <w:lastRenderedPageBreak/>
        <w:t xml:space="preserve">during 2HCY27, followed by a potential CHMP opinion between Q4CY27 and H1CY28. A </w:t>
      </w:r>
      <w:proofErr w:type="spellStart"/>
      <w:r w:rsidRPr="00712B9C">
        <w:rPr>
          <w:rFonts w:ascii="Times New Roman" w:eastAsia="Times New Roman" w:hAnsi="Times New Roman" w:cs="Times New Roman"/>
          <w:kern w:val="0"/>
          <w14:ligatures w14:val="none"/>
        </w:rPr>
        <w:t>favourable</w:t>
      </w:r>
      <w:proofErr w:type="spellEnd"/>
      <w:r w:rsidRPr="00712B9C">
        <w:rPr>
          <w:rFonts w:ascii="Times New Roman" w:eastAsia="Times New Roman" w:hAnsi="Times New Roman" w:cs="Times New Roman"/>
          <w:kern w:val="0"/>
          <w14:ligatures w14:val="none"/>
        </w:rPr>
        <w:t xml:space="preserve"> opinion would be the meaningful stock catalyst because it would materially increase the probability of formal European Commission approval, which could follow around two months later. The earliest credible approval window is therefore mid-CY28, implying a launch during FY29. Country-level pricing and reimbursement reviews should push meaningful revenue into FY30. The direct earnings contribution is likely to remain modest. The initial addressable population in Europe and ANZ is approximately 2,000 to 3,500 patients annually, and Sun shares the economics with </w:t>
      </w:r>
      <w:proofErr w:type="spellStart"/>
      <w:r w:rsidRPr="00712B9C">
        <w:rPr>
          <w:rFonts w:ascii="Times New Roman" w:eastAsia="Times New Roman" w:hAnsi="Times New Roman" w:cs="Times New Roman"/>
          <w:kern w:val="0"/>
          <w14:ligatures w14:val="none"/>
        </w:rPr>
        <w:t>Philogen</w:t>
      </w:r>
      <w:proofErr w:type="spellEnd"/>
      <w:r w:rsidRPr="00712B9C">
        <w:rPr>
          <w:rFonts w:ascii="Times New Roman" w:eastAsia="Times New Roman" w:hAnsi="Times New Roman" w:cs="Times New Roman"/>
          <w:kern w:val="0"/>
          <w14:ligatures w14:val="none"/>
        </w:rPr>
        <w:t xml:space="preserve">. Our more defensible commercial case assumes a limited uptake among patients with accessible lesions who are unsuitable for, intolerant of or unwilling to receive systemic checkpoint therapy. This supports peak annual contribution to Sun of approximately €15 million to €20 million, with upside toward €40 million to €50 million if pricing and penetration exceed our base assumptions. The strategic value is more relevant than the near-term profit pool. </w:t>
      </w: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would add another differentiated asset to Sun’s emerging onco-dermatology platform alongside </w:t>
      </w:r>
      <w:proofErr w:type="spellStart"/>
      <w:r w:rsidRPr="00712B9C">
        <w:rPr>
          <w:rFonts w:ascii="Times New Roman" w:eastAsia="Times New Roman" w:hAnsi="Times New Roman" w:cs="Times New Roman"/>
          <w:kern w:val="0"/>
          <w14:ligatures w14:val="none"/>
        </w:rPr>
        <w:t>Odomzo</w:t>
      </w:r>
      <w:proofErr w:type="spellEnd"/>
      <w:r w:rsidRPr="00712B9C">
        <w:rPr>
          <w:rFonts w:ascii="Times New Roman" w:eastAsia="Times New Roman" w:hAnsi="Times New Roman" w:cs="Times New Roman"/>
          <w:kern w:val="0"/>
          <w14:ligatures w14:val="none"/>
        </w:rPr>
        <w:t xml:space="preserve"> in advanced basal-cell carcinoma and UNLOXCYT in advanced cutaneous squamous-cell carcinoma. The proposed Organon acquisition should also provide a materially larger European commercial infrastructure and specialist reach following completion, creating a more efficient launch platform for assets such as </w:t>
      </w: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This represents a two-layer benefit for Sun: additional optionality within its roughly $1.2 billion-plus innovative medicines franchise and a broader commercial engine through which future licensed assets can be scaled. </w:t>
      </w:r>
      <w:proofErr w:type="spellStart"/>
      <w:r w:rsidRPr="00712B9C">
        <w:rPr>
          <w:rFonts w:ascii="Times New Roman" w:eastAsia="Times New Roman" w:hAnsi="Times New Roman" w:cs="Times New Roman"/>
          <w:kern w:val="0"/>
          <w14:ligatures w14:val="none"/>
        </w:rPr>
        <w:t>Nidlegy’s</w:t>
      </w:r>
      <w:proofErr w:type="spellEnd"/>
      <w:r w:rsidRPr="00712B9C">
        <w:rPr>
          <w:rFonts w:ascii="Times New Roman" w:eastAsia="Times New Roman" w:hAnsi="Times New Roman" w:cs="Times New Roman"/>
          <w:kern w:val="0"/>
          <w14:ligatures w14:val="none"/>
        </w:rPr>
        <w:t xml:space="preserve"> competitive advantage is a short, finite and largely local treatment course with limited systemic immune toxicity. It is unlikely to displace neoadjuvant nivolumab plus ipilimumab or pembrolizumab in checkpoint-eligible patients, where the efficacy evidence is considerably stronger. The realistic share opportunity sits in a small but defensible niche of checkpoint-ineligible or checkpoint-averse patients with injectable disease, followed over time by potentially more attractive indications in basal-cell and cutaneous squamous-cell carcinoma. Consequently, EMA validation would provide a small positive signal, constructive Day 120 feedback would improve confidence, and a positive CHMP opinion would represent the principal valuation catalyst.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817"/>
        <w:gridCol w:w="1709"/>
        <w:gridCol w:w="1809"/>
        <w:gridCol w:w="2196"/>
      </w:tblGrid>
      <w:tr w:rsidR="00712B9C" w:rsidRPr="00712B9C" w:rsidTr="00712B9C">
        <w:trPr>
          <w:tblHeader/>
          <w:tblCellSpacing w:w="15" w:type="dxa"/>
        </w:trPr>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Therapy</w:t>
            </w:r>
          </w:p>
        </w:tc>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Setting and regimen</w:t>
            </w:r>
          </w:p>
        </w:tc>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Key efficacy evidence</w:t>
            </w:r>
          </w:p>
        </w:tc>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r w:rsidRPr="00712B9C">
              <w:rPr>
                <w:rFonts w:ascii="Times New Roman" w:eastAsia="Times New Roman" w:hAnsi="Times New Roman" w:cs="Times New Roman"/>
                <w:b/>
                <w:bCs/>
                <w:kern w:val="0"/>
                <w14:ligatures w14:val="none"/>
              </w:rPr>
              <w:t>Safety and treatment burden</w:t>
            </w:r>
          </w:p>
        </w:tc>
        <w:tc>
          <w:tcPr>
            <w:tcW w:w="0" w:type="auto"/>
            <w:vAlign w:val="center"/>
            <w:hideMark/>
          </w:tcPr>
          <w:p w:rsidR="00712B9C" w:rsidRPr="00712B9C" w:rsidRDefault="00712B9C" w:rsidP="00712B9C">
            <w:pPr>
              <w:jc w:val="center"/>
              <w:rPr>
                <w:rFonts w:ascii="Times New Roman" w:eastAsia="Times New Roman" w:hAnsi="Times New Roman" w:cs="Times New Roman"/>
                <w:b/>
                <w:bCs/>
                <w:kern w:val="0"/>
                <w14:ligatures w14:val="none"/>
              </w:rPr>
            </w:pPr>
            <w:proofErr w:type="spellStart"/>
            <w:r w:rsidRPr="00712B9C">
              <w:rPr>
                <w:rFonts w:ascii="Times New Roman" w:eastAsia="Times New Roman" w:hAnsi="Times New Roman" w:cs="Times New Roman"/>
                <w:b/>
                <w:bCs/>
                <w:kern w:val="0"/>
                <w14:ligatures w14:val="none"/>
              </w:rPr>
              <w:t>Nidlegy’s</w:t>
            </w:r>
            <w:proofErr w:type="spellEnd"/>
            <w:r w:rsidRPr="00712B9C">
              <w:rPr>
                <w:rFonts w:ascii="Times New Roman" w:eastAsia="Times New Roman" w:hAnsi="Times New Roman" w:cs="Times New Roman"/>
                <w:b/>
                <w:bCs/>
                <w:kern w:val="0"/>
                <w14:ligatures w14:val="none"/>
              </w:rPr>
              <w:t xml:space="preserve"> relative positioning</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proofErr w:type="spellStart"/>
            <w:r w:rsidRPr="00712B9C">
              <w:rPr>
                <w:rFonts w:ascii="Times New Roman" w:eastAsia="Times New Roman" w:hAnsi="Times New Roman" w:cs="Times New Roman"/>
                <w:b/>
                <w:bCs/>
                <w:kern w:val="0"/>
                <w14:ligatures w14:val="none"/>
              </w:rPr>
              <w:t>Nidlegy</w:t>
            </w:r>
            <w:proofErr w:type="spellEnd"/>
            <w:r w:rsidRPr="00712B9C">
              <w:rPr>
                <w:rFonts w:ascii="Times New Roman" w:eastAsia="Times New Roman" w:hAnsi="Times New Roman" w:cs="Times New Roman"/>
                <w:b/>
                <w:bCs/>
                <w:kern w:val="0"/>
                <w14:ligatures w14:val="none"/>
              </w:rPr>
              <w:t xml:space="preserve">, </w:t>
            </w:r>
            <w:proofErr w:type="spellStart"/>
            <w:r w:rsidRPr="00712B9C">
              <w:rPr>
                <w:rFonts w:ascii="Times New Roman" w:eastAsia="Times New Roman" w:hAnsi="Times New Roman" w:cs="Times New Roman"/>
                <w:b/>
                <w:bCs/>
                <w:kern w:val="0"/>
                <w14:ligatures w14:val="none"/>
              </w:rPr>
              <w:t>Philogen</w:t>
            </w:r>
            <w:proofErr w:type="spellEnd"/>
            <w:r w:rsidRPr="00712B9C">
              <w:rPr>
                <w:rFonts w:ascii="Times New Roman" w:eastAsia="Times New Roman" w:hAnsi="Times New Roman" w:cs="Times New Roman"/>
                <w:b/>
                <w:bCs/>
                <w:kern w:val="0"/>
                <w14:ligatures w14:val="none"/>
              </w:rPr>
              <w:t>/Sun</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proofErr w:type="spellStart"/>
            <w:r w:rsidRPr="00712B9C">
              <w:rPr>
                <w:rFonts w:ascii="Times New Roman" w:eastAsia="Times New Roman" w:hAnsi="Times New Roman" w:cs="Times New Roman"/>
                <w:kern w:val="0"/>
                <w14:ligatures w14:val="none"/>
              </w:rPr>
              <w:t>Resectable</w:t>
            </w:r>
            <w:proofErr w:type="spellEnd"/>
            <w:r w:rsidRPr="00712B9C">
              <w:rPr>
                <w:rFonts w:ascii="Times New Roman" w:eastAsia="Times New Roman" w:hAnsi="Times New Roman" w:cs="Times New Roman"/>
                <w:kern w:val="0"/>
                <w14:ligatures w14:val="none"/>
              </w:rPr>
              <w:t>, locally advanced melanoma with injectable lesions; four weekly intralesional injections followed by surgery</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PIVOTAL RFS HR 0.59 initially and 0.61 with longer follow-up; DMFS HR 0.57; pathological CR approximately 21%; OS HR 0.93</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Grade 3 or higher AEs 31.8%, predominantly local injection-site events; no treatment-related deaths; finite four-week course</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Key advantage:</w:t>
            </w:r>
            <w:r w:rsidRPr="00712B9C">
              <w:rPr>
                <w:rFonts w:ascii="Times New Roman" w:eastAsia="Times New Roman" w:hAnsi="Times New Roman" w:cs="Times New Roman"/>
                <w:kern w:val="0"/>
                <w14:ligatures w14:val="none"/>
              </w:rPr>
              <w:t xml:space="preserve"> low systemic immune toxicity, finite treatment and no year-long checkpoint exposure. </w:t>
            </w:r>
            <w:r w:rsidRPr="00712B9C">
              <w:rPr>
                <w:rFonts w:ascii="Times New Roman" w:eastAsia="Times New Roman" w:hAnsi="Times New Roman" w:cs="Times New Roman"/>
                <w:b/>
                <w:bCs/>
                <w:kern w:val="0"/>
                <w14:ligatures w14:val="none"/>
              </w:rPr>
              <w:t>Best-fit niche:</w:t>
            </w:r>
            <w:r w:rsidRPr="00712B9C">
              <w:rPr>
                <w:rFonts w:ascii="Times New Roman" w:eastAsia="Times New Roman" w:hAnsi="Times New Roman" w:cs="Times New Roman"/>
                <w:kern w:val="0"/>
                <w14:ligatures w14:val="none"/>
              </w:rPr>
              <w:t xml:space="preserve"> checkpoint-ineligible or checkpoint-averse patients. </w:t>
            </w:r>
            <w:r w:rsidRPr="00712B9C">
              <w:rPr>
                <w:rFonts w:ascii="Times New Roman" w:eastAsia="Times New Roman" w:hAnsi="Times New Roman" w:cs="Times New Roman"/>
                <w:b/>
                <w:bCs/>
                <w:kern w:val="0"/>
                <w14:ligatures w14:val="none"/>
              </w:rPr>
              <w:t>Constraint:</w:t>
            </w:r>
            <w:r w:rsidRPr="00712B9C">
              <w:rPr>
                <w:rFonts w:ascii="Times New Roman" w:eastAsia="Times New Roman" w:hAnsi="Times New Roman" w:cs="Times New Roman"/>
                <w:kern w:val="0"/>
                <w14:ligatures w14:val="none"/>
              </w:rPr>
              <w:t xml:space="preserve"> no demonstrated OS benefit, accessible lesions required and pivotal-trial </w:t>
            </w:r>
            <w:r w:rsidRPr="00712B9C">
              <w:rPr>
                <w:rFonts w:ascii="Times New Roman" w:eastAsia="Times New Roman" w:hAnsi="Times New Roman" w:cs="Times New Roman"/>
                <w:kern w:val="0"/>
                <w14:ligatures w14:val="none"/>
              </w:rPr>
              <w:lastRenderedPageBreak/>
              <w:t>methodology remains contested</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lastRenderedPageBreak/>
              <w:t>Nivolumab plus ipilimumab, NADINA</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proofErr w:type="spellStart"/>
            <w:r w:rsidRPr="00712B9C">
              <w:rPr>
                <w:rFonts w:ascii="Times New Roman" w:eastAsia="Times New Roman" w:hAnsi="Times New Roman" w:cs="Times New Roman"/>
                <w:kern w:val="0"/>
                <w14:ligatures w14:val="none"/>
              </w:rPr>
              <w:t>Resectable</w:t>
            </w:r>
            <w:proofErr w:type="spellEnd"/>
            <w:r w:rsidRPr="00712B9C">
              <w:rPr>
                <w:rFonts w:ascii="Times New Roman" w:eastAsia="Times New Roman" w:hAnsi="Times New Roman" w:cs="Times New Roman"/>
                <w:kern w:val="0"/>
                <w14:ligatures w14:val="none"/>
              </w:rPr>
              <w:t xml:space="preserve"> macroscopic stage III melanoma; two neoadjuvant cycles followed by surgery and response-driven adjuvant treatment</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EFS HR 0.32; 12-month EFS approximately 84% versus 57%; major pathological response approximately 59%</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Grade 3 or 4 treatment-related AEs approximately 30%; meaningful systemic immune-related toxicity</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 xml:space="preserve">Strongest competing efficacy package. </w:t>
            </w: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offers lower systemic toxicity and simpler monitoring, although its </w:t>
            </w:r>
            <w:proofErr w:type="spellStart"/>
            <w:r w:rsidRPr="00712B9C">
              <w:rPr>
                <w:rFonts w:ascii="Times New Roman" w:eastAsia="Times New Roman" w:hAnsi="Times New Roman" w:cs="Times New Roman"/>
                <w:kern w:val="0"/>
                <w14:ligatures w14:val="none"/>
              </w:rPr>
              <w:t>tumour</w:t>
            </w:r>
            <w:proofErr w:type="spellEnd"/>
            <w:r w:rsidRPr="00712B9C">
              <w:rPr>
                <w:rFonts w:ascii="Times New Roman" w:eastAsia="Times New Roman" w:hAnsi="Times New Roman" w:cs="Times New Roman"/>
                <w:kern w:val="0"/>
                <w14:ligatures w14:val="none"/>
              </w:rPr>
              <w:t>-response depth and EFS evidence are materially weaker</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Pembrolizumab, SWOG S1801</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proofErr w:type="spellStart"/>
            <w:r w:rsidRPr="00712B9C">
              <w:rPr>
                <w:rFonts w:ascii="Times New Roman" w:eastAsia="Times New Roman" w:hAnsi="Times New Roman" w:cs="Times New Roman"/>
                <w:kern w:val="0"/>
                <w14:ligatures w14:val="none"/>
              </w:rPr>
              <w:t>Resectable</w:t>
            </w:r>
            <w:proofErr w:type="spellEnd"/>
            <w:r w:rsidRPr="00712B9C">
              <w:rPr>
                <w:rFonts w:ascii="Times New Roman" w:eastAsia="Times New Roman" w:hAnsi="Times New Roman" w:cs="Times New Roman"/>
                <w:kern w:val="0"/>
                <w14:ligatures w14:val="none"/>
              </w:rPr>
              <w:t xml:space="preserve"> stage IIIB-IV melanoma; neoadjuvant pembrolizumab followed by surgery and adjuvant pembrolizumab</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Two-year EFS 72% versus 49% with adjuvant-only treatment; pathological CR approximately 21%</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Lower severe toxicity than dual checkpoint therapy, although treatment continues for approximately one year and requires repeated IV administration</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matches the reported pathological CR rate and offers a much shorter course. Pembrolizumab has the stronger systemic rationale, cleaner endpoint and established physician familiarity</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Adjuvant nivolumab or pembrolizumab</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Completely resected stage III-IV melanoma; systemic anti-PD-1 treatment for up to one year</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Mature recurrence-free survival benefit and long-term follow-up; approved and embedded in clinical practice</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Repeated IV dosing and risk of persistent immune-related adverse events</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could reduce systemic exposure and treatment duration for selected patients. Established reimbursement, mature outcomes and broad eligibility </w:t>
            </w:r>
            <w:proofErr w:type="spellStart"/>
            <w:r w:rsidRPr="00712B9C">
              <w:rPr>
                <w:rFonts w:ascii="Times New Roman" w:eastAsia="Times New Roman" w:hAnsi="Times New Roman" w:cs="Times New Roman"/>
                <w:kern w:val="0"/>
                <w14:ligatures w14:val="none"/>
              </w:rPr>
              <w:t>favour</w:t>
            </w:r>
            <w:proofErr w:type="spellEnd"/>
            <w:r w:rsidRPr="00712B9C">
              <w:rPr>
                <w:rFonts w:ascii="Times New Roman" w:eastAsia="Times New Roman" w:hAnsi="Times New Roman" w:cs="Times New Roman"/>
                <w:kern w:val="0"/>
                <w14:ligatures w14:val="none"/>
              </w:rPr>
              <w:t xml:space="preserve"> anti-PD-1 therapy in the mainstream population</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t>Dabrafenib plus trametinib</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Adjuvant treatment for resected BRAF V600-mutated stage III melanoma; oral therapy for one year</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Five-year RFS approximately 52% versus 36%; HR approximately 0.51</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 xml:space="preserve">Oral administration; pyrexia and treatment interruptions are common; restricted to </w:t>
            </w:r>
            <w:r w:rsidRPr="00712B9C">
              <w:rPr>
                <w:rFonts w:ascii="Times New Roman" w:eastAsia="Times New Roman" w:hAnsi="Times New Roman" w:cs="Times New Roman"/>
                <w:kern w:val="0"/>
                <w14:ligatures w14:val="none"/>
              </w:rPr>
              <w:lastRenderedPageBreak/>
              <w:t>BRAF V600-mutated disease</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proofErr w:type="spellStart"/>
            <w:r w:rsidRPr="00712B9C">
              <w:rPr>
                <w:rFonts w:ascii="Times New Roman" w:eastAsia="Times New Roman" w:hAnsi="Times New Roman" w:cs="Times New Roman"/>
                <w:kern w:val="0"/>
                <w14:ligatures w14:val="none"/>
              </w:rPr>
              <w:lastRenderedPageBreak/>
              <w:t>Nidlegy</w:t>
            </w:r>
            <w:proofErr w:type="spellEnd"/>
            <w:r w:rsidRPr="00712B9C">
              <w:rPr>
                <w:rFonts w:ascii="Times New Roman" w:eastAsia="Times New Roman" w:hAnsi="Times New Roman" w:cs="Times New Roman"/>
                <w:kern w:val="0"/>
                <w14:ligatures w14:val="none"/>
              </w:rPr>
              <w:t xml:space="preserve"> is mutation-agnostic and uses a four-week course. Dabrafenib plus trametinib remains easier to administer and has mature efficacy evidence in </w:t>
            </w:r>
            <w:r w:rsidRPr="00712B9C">
              <w:rPr>
                <w:rFonts w:ascii="Times New Roman" w:eastAsia="Times New Roman" w:hAnsi="Times New Roman" w:cs="Times New Roman"/>
                <w:kern w:val="0"/>
                <w14:ligatures w14:val="none"/>
              </w:rPr>
              <w:lastRenderedPageBreak/>
              <w:t>its biomarker-defined population</w:t>
            </w:r>
          </w:p>
        </w:tc>
      </w:tr>
      <w:tr w:rsidR="00712B9C" w:rsidRPr="00712B9C" w:rsidTr="00712B9C">
        <w:trPr>
          <w:tblCellSpacing w:w="15" w:type="dxa"/>
        </w:trPr>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b/>
                <w:bCs/>
                <w:kern w:val="0"/>
                <w14:ligatures w14:val="none"/>
              </w:rPr>
              <w:lastRenderedPageBreak/>
              <w:t>T-VEC</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Intralesional treatment for unresectable stage IIIB-IVM1a melanoma</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 xml:space="preserve">Durable response rate approximately 19% versus 1% with GM-CSF in </w:t>
            </w:r>
            <w:proofErr w:type="spellStart"/>
            <w:r w:rsidRPr="00712B9C">
              <w:rPr>
                <w:rFonts w:ascii="Times New Roman" w:eastAsia="Times New Roman" w:hAnsi="Times New Roman" w:cs="Times New Roman"/>
                <w:kern w:val="0"/>
                <w14:ligatures w14:val="none"/>
              </w:rPr>
              <w:t>OPTiM</w:t>
            </w:r>
            <w:proofErr w:type="spellEnd"/>
            <w:r w:rsidRPr="00712B9C">
              <w:rPr>
                <w:rFonts w:ascii="Times New Roman" w:eastAsia="Times New Roman" w:hAnsi="Times New Roman" w:cs="Times New Roman"/>
                <w:kern w:val="0"/>
                <w14:ligatures w14:val="none"/>
              </w:rPr>
              <w:t>; established activity in injectable disease</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Primarily local and flu-like toxicity; repeated intralesional administration</w:t>
            </w:r>
          </w:p>
        </w:tc>
        <w:tc>
          <w:tcPr>
            <w:tcW w:w="0" w:type="auto"/>
            <w:vAlign w:val="center"/>
            <w:hideMark/>
          </w:tcPr>
          <w:p w:rsidR="00712B9C" w:rsidRPr="00712B9C" w:rsidRDefault="00712B9C" w:rsidP="00712B9C">
            <w:pPr>
              <w:rPr>
                <w:rFonts w:ascii="Times New Roman" w:eastAsia="Times New Roman" w:hAnsi="Times New Roman" w:cs="Times New Roman"/>
                <w:kern w:val="0"/>
                <w14:ligatures w14:val="none"/>
              </w:rPr>
            </w:pPr>
            <w:r w:rsidRPr="00712B9C">
              <w:rPr>
                <w:rFonts w:ascii="Times New Roman" w:eastAsia="Times New Roman" w:hAnsi="Times New Roman" w:cs="Times New Roman"/>
                <w:kern w:val="0"/>
                <w14:ligatures w14:val="none"/>
              </w:rPr>
              <w:t xml:space="preserve">Closest commercial analogue. </w:t>
            </w:r>
            <w:proofErr w:type="spellStart"/>
            <w:r w:rsidRPr="00712B9C">
              <w:rPr>
                <w:rFonts w:ascii="Times New Roman" w:eastAsia="Times New Roman" w:hAnsi="Times New Roman" w:cs="Times New Roman"/>
                <w:kern w:val="0"/>
                <w14:ligatures w14:val="none"/>
              </w:rPr>
              <w:t>Nidlegy</w:t>
            </w:r>
            <w:proofErr w:type="spellEnd"/>
            <w:r w:rsidRPr="00712B9C">
              <w:rPr>
                <w:rFonts w:ascii="Times New Roman" w:eastAsia="Times New Roman" w:hAnsi="Times New Roman" w:cs="Times New Roman"/>
                <w:kern w:val="0"/>
                <w14:ligatures w14:val="none"/>
              </w:rPr>
              <w:t xml:space="preserve"> has randomized neoadjuvant data and a finite four-dose regimen. T-VEC has regulatory precedent, established use and a more mature evidence package</w:t>
            </w:r>
          </w:p>
        </w:tc>
      </w:tr>
    </w:tbl>
    <w:p w:rsidR="00712B9C" w:rsidRPr="00712B9C" w:rsidRDefault="00712B9C" w:rsidP="00712B9C">
      <w:pPr>
        <w:spacing w:before="100" w:beforeAutospacing="1" w:after="100" w:afterAutospacing="1"/>
        <w:rPr>
          <w:rFonts w:ascii="Times New Roman" w:eastAsia="Times New Roman" w:hAnsi="Times New Roman" w:cs="Times New Roman"/>
          <w:kern w:val="0"/>
          <w14:ligatures w14:val="none"/>
        </w:rPr>
      </w:pPr>
      <w:r w:rsidRPr="00712B9C">
        <w:rPr>
          <w:rFonts w:ascii="Times New Roman" w:eastAsia="Times New Roman" w:hAnsi="Times New Roman" w:cs="Times New Roman"/>
          <w:i/>
          <w:iCs/>
          <w:kern w:val="0"/>
          <w14:ligatures w14:val="none"/>
        </w:rPr>
        <w:t xml:space="preserve">Source: Sun Pharma and </w:t>
      </w:r>
      <w:proofErr w:type="spellStart"/>
      <w:r w:rsidRPr="00712B9C">
        <w:rPr>
          <w:rFonts w:ascii="Times New Roman" w:eastAsia="Times New Roman" w:hAnsi="Times New Roman" w:cs="Times New Roman"/>
          <w:i/>
          <w:iCs/>
          <w:kern w:val="0"/>
          <w14:ligatures w14:val="none"/>
        </w:rPr>
        <w:t>Philogen</w:t>
      </w:r>
      <w:proofErr w:type="spellEnd"/>
      <w:r w:rsidRPr="00712B9C">
        <w:rPr>
          <w:rFonts w:ascii="Times New Roman" w:eastAsia="Times New Roman" w:hAnsi="Times New Roman" w:cs="Times New Roman"/>
          <w:i/>
          <w:iCs/>
          <w:kern w:val="0"/>
          <w14:ligatures w14:val="none"/>
        </w:rPr>
        <w:t xml:space="preserve"> disclosures, EMA assessment and published PIVOTAL, NADINA, SWOG S1801 and </w:t>
      </w:r>
      <w:proofErr w:type="spellStart"/>
      <w:r w:rsidRPr="00712B9C">
        <w:rPr>
          <w:rFonts w:ascii="Times New Roman" w:eastAsia="Times New Roman" w:hAnsi="Times New Roman" w:cs="Times New Roman"/>
          <w:i/>
          <w:iCs/>
          <w:kern w:val="0"/>
          <w14:ligatures w14:val="none"/>
        </w:rPr>
        <w:t>OPTiM</w:t>
      </w:r>
      <w:proofErr w:type="spellEnd"/>
      <w:r w:rsidRPr="00712B9C">
        <w:rPr>
          <w:rFonts w:ascii="Times New Roman" w:eastAsia="Times New Roman" w:hAnsi="Times New Roman" w:cs="Times New Roman"/>
          <w:i/>
          <w:iCs/>
          <w:kern w:val="0"/>
          <w14:ligatures w14:val="none"/>
        </w:rPr>
        <w:t xml:space="preserve"> studies. Cross-trial comparisons are indicative because populations, endpoints, treatment settings and follow-up differ.</w:t>
      </w:r>
      <w:r w:rsidRPr="00712B9C">
        <w:rPr>
          <w:rFonts w:ascii="Times New Roman" w:eastAsia="Times New Roman" w:hAnsi="Times New Roman" w:cs="Times New Roman"/>
          <w:kern w:val="0"/>
          <w14:ligatures w14:val="none"/>
        </w:rPr>
        <w:t xml:space="preserve"> </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B9C"/>
    <w:rsid w:val="00712B9C"/>
    <w:rsid w:val="007B788F"/>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13071ED-B175-754A-A9D4-D4C426B7B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2B9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B9C"/>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712B9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2B9C"/>
    <w:rPr>
      <w:b/>
      <w:bCs/>
    </w:rPr>
  </w:style>
  <w:style w:type="character" w:styleId="Emphasis">
    <w:name w:val="Emphasis"/>
    <w:basedOn w:val="DefaultParagraphFont"/>
    <w:uiPriority w:val="20"/>
    <w:qFormat/>
    <w:rsid w:val="00712B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929959">
      <w:bodyDiv w:val="1"/>
      <w:marLeft w:val="0"/>
      <w:marRight w:val="0"/>
      <w:marTop w:val="0"/>
      <w:marBottom w:val="0"/>
      <w:divBdr>
        <w:top w:val="none" w:sz="0" w:space="0" w:color="auto"/>
        <w:left w:val="none" w:sz="0" w:space="0" w:color="auto"/>
        <w:bottom w:val="none" w:sz="0" w:space="0" w:color="auto"/>
        <w:right w:val="none" w:sz="0" w:space="0" w:color="auto"/>
      </w:divBdr>
      <w:divsChild>
        <w:div w:id="1248613076">
          <w:marLeft w:val="0"/>
          <w:marRight w:val="0"/>
          <w:marTop w:val="0"/>
          <w:marBottom w:val="0"/>
          <w:divBdr>
            <w:top w:val="none" w:sz="0" w:space="0" w:color="auto"/>
            <w:left w:val="none" w:sz="0" w:space="0" w:color="auto"/>
            <w:bottom w:val="none" w:sz="0" w:space="0" w:color="auto"/>
            <w:right w:val="none" w:sz="0" w:space="0" w:color="auto"/>
          </w:divBdr>
          <w:divsChild>
            <w:div w:id="10059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2026-07-29T06:18:00Z</dcterms:created>
  <dcterms:modified xsi:type="dcterms:W3CDTF">2026-07-29T06:18:00Z</dcterms:modified>
</cp:coreProperties>
</file>