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Abbott India</w:t>
      </w:r>
    </w:p>
    <w:p>
      <w:pPr>
        <w:pStyle w:val="Heading1"/>
      </w:pPr>
      <w:r>
        <w:t>Market Perform as mature brands and limited launches constrain earnings acceleration</w:t>
      </w:r>
    </w:p>
    <w:p>
      <w:commentRangeStart w:id="0"/>
      <w:r>
        <w:t>We initiate coverage on Abbott India at Market-Perform with a target price of INR24,851, based on 29x FY28E EPS of INR856.9. Our FY26–FY28E forecasts imply 9.6% sales CAGR and 8.3% EPS CAGR. The growth burden remains concentrated in Udiliv, Cremaffin, Duphalac and the other established franchises. Annual launches have halved since FY23, while cheaper dydrogesterone brands are eroding Duphaston's market position. Extensior adds INR2,050mn of incremental revenue by FY28E. We expect operating EBITDA margin to ease by 50bp to 26.8% as Abbott invests in new products and prescription defence. The reference price of INR25,275 already values these earnings at 29.5x, leaving approximately 2% downside to our target.</w:t>
      </w:r>
      <w:commentRangeEnd w:id="0"/>
      <w:r>
        <w:rPr>
          <w:rStyle w:val="CommentReference"/>
        </w:rPr>
        <w:commentReference w:id="0"/>
      </w:r>
    </w:p>
    <w:p>
      <w:pPr>
        <w:pStyle w:val="Heading1"/>
      </w:pPr>
      <w:r>
        <w:t>Company primer</w:t>
      </w:r>
    </w:p>
    <w:p>
      <w:r>
        <w:t>Abbott India is the listed branded-medicines subsidiary of Abbott Laboratories, incorporated in 1944 and approximately 75% promoter-owned. Its principal franchises are Thyronorm in thyroid replacement; Udiliv in liver care; Cremaffin, Duphalac and Digene in gastrointestinal care; Duphaston and Femoston in women's health; Vertin in vertigo; and Influvac in vaccines. These products generate revenue through prescriptions for established treatment needs. Growth comes from additional patients, continued treatment, pricing and extensions of existing brands.</w:t>
      </w:r>
      <w:r>
        <w:rPr>
          <w:sz w:val="16"/>
          <w:vertAlign w:val="superscript"/>
        </w:rPr>
        <w:t xml:space="preserve"> [1, 2]</w:t>
      </w:r>
    </w:p>
    <w:p>
      <w:r>
        <w:t>Abbott India also commercialises partnered products. Extensior, the Novo Nordisk semaglutide brand for type 2 diabetes, adds a new source of sales. The listed company sits alongside other Abbott affiliates in India, including Abbott Healthcare and the diagnostics business. Group market rankings and product announcements therefore require an entity-specific assessment before they can be attributed to listed shareholders.</w:t>
      </w:r>
      <w:r>
        <w:rPr>
          <w:sz w:val="16"/>
          <w:vertAlign w:val="superscript"/>
        </w:rPr>
        <w:t xml:space="preserve"> [3]</w:t>
      </w:r>
    </w:p>
    <w:p>
      <w:pPr>
        <w:pStyle w:val="Heading1"/>
      </w:pPr>
      <w:r>
        <w:t>Debate 1 Slower launches leave established brands carrying the growth forecast</w:t>
      </w:r>
    </w:p>
    <w:p>
      <w:r>
        <w:t>Our revenue bridge takes sales from approximately INR69bn in FY26 to INR90bn in FY29E, with large established brands supplying most of the increase. Recent GI launches contribute little to the bridge. This makes continued growth in the existing franchises the main determinant of forecast delivery. The company's monthly sales series has trailed IPM, Sun and Mankind through much of the period shown, indicating that the established portfolio has yet to deliver a sustained catch-up with the market.</w:t>
      </w:r>
    </w:p>
    <w:p>
      <w:pPr>
        <w:keepLines/>
        <w:spacing w:before="40" w:after="180"/>
      </w:pPr>
      <w:commentRangeStart w:id="1"/>
      <w:r>
        <w:rPr>
          <w:i/>
          <w:color w:val="4A4A4A"/>
          <w:sz w:val="19"/>
        </w:rPr>
        <w:t>[Insert Exhibit 1 after this paragraph: slide 43, FY26–FY29E revenue waterfall, followed by slide 45, Abbott India versus IPM and domestic peers. Present as two panels. Title: Established brands carry the forecast as Abbott continues to trail market growth.]</w:t>
      </w:r>
      <w:commentRangeEnd w:id="1"/>
      <w:r>
        <w:rPr>
          <w:rStyle w:val="CommentReference"/>
        </w:rPr>
        <w:commentReference w:id="1"/>
      </w:r>
    </w:p>
    <w:p>
      <w:r>
        <w:t>Annual introductions declined from 10 in FY23 to eight in FY24, seven in FY25 and five in FY26. Our classification identifies 22 of the 30 introductions as extensions of existing brands, leaving only eight introductions outside existing brand families across four years. Thus, both the number of introductions and the breadth of new franchises are limited. A new strength or formulation can retain a prescription within Thyronorm or another established brand; its incremental revenue is the additional business retained after allowing for switching from the existing presentation. Counting each introduction as a separate growth engine overstates the revenue opportunity.</w:t>
      </w:r>
      <w:r>
        <w:rPr>
          <w:sz w:val="16"/>
          <w:vertAlign w:val="superscript"/>
        </w:rPr>
        <w:t xml:space="preserve"> [1, 4]</w:t>
      </w:r>
    </w:p>
    <w:p>
      <w:pPr>
        <w:keepLines/>
        <w:spacing w:before="40" w:after="180"/>
      </w:pPr>
      <w:commentRangeStart w:id="2"/>
      <w:r>
        <w:rPr>
          <w:i/>
          <w:color w:val="4A4A4A"/>
          <w:sz w:val="19"/>
        </w:rPr>
        <w:t>[Insert Exhibit 2 after this paragraph: slide 47, right-hand annual launch chart. Title: Annual launches have halved and brand extensions account for 22 of 30 introductions.]</w:t>
      </w:r>
      <w:commentRangeEnd w:id="2"/>
      <w:r>
        <w:rPr>
          <w:rStyle w:val="CommentReference"/>
        </w:rPr>
        <w:commentReference w:id="2"/>
      </w:r>
    </w:p>
    <w:p>
      <w:commentRangeStart w:id="3"/>
      <w:r>
        <w:t>The 75-product target originated in September 2022 as a five-year launch plan covering lifecycle extensions, off-patent opportunities and adjacent therapies. The five introductions recorded in FY26 provide the more recent evidence on launch execution. The roughly 29 Abbott-sponsored CTRI registrations in our CY24–CY26YTD screen also include activity across businesses outside the listed pharmaceutical entity. They provide no direct bridge to 29 revenue-generating launches for Abbott India. We therefore forecast identifiable products and retain established brands as the principal source of growth.</w:t>
      </w:r>
      <w:commentRangeEnd w:id="3"/>
      <w:r>
        <w:rPr>
          <w:rStyle w:val="CommentReference"/>
        </w:rPr>
        <w:commentReference w:id="3"/>
      </w:r>
      <w:r>
        <w:rPr>
          <w:sz w:val="16"/>
          <w:vertAlign w:val="superscript"/>
        </w:rPr>
        <w:t xml:space="preserve"> [5]</w:t>
      </w:r>
    </w:p>
    <w:p>
      <w:pPr>
        <w:keepLines/>
        <w:spacing w:before="40" w:after="180"/>
      </w:pPr>
      <w:r>
        <w:rPr>
          <w:i/>
          <w:color w:val="4A4A4A"/>
          <w:sz w:val="19"/>
        </w:rPr>
        <w:t>[Insert Exhibit 3 after this paragraph: slide 47, left-hand CTRI registration chart. Title: Abbott group trial registrations require entity classification to assess the listed launch pipeline.]</w:t>
      </w:r>
    </w:p>
    <w:p>
      <w:commentRangeStart w:id="4"/>
      <w:r>
        <w:t>Extensior is the clearest new franchise in the forecast. We model sales rising from INR50mn in FY26 to INR2,100mn in FY28E. The INR2,050mn increase supplies approximately 15% of our total incremental sales over those two years. Even at that scale, Extensior represents only about 2.5% of FY28E revenue, leaving the overall growth rate dependent on the older portfolio. Novo Nordisk manufactures the product and Abbott commercialises it. The retained commercial margin will determine how much of the sales ramp converts into Abbott India's earnings.</w:t>
      </w:r>
      <w:commentRangeEnd w:id="4"/>
      <w:r>
        <w:rPr>
          <w:rStyle w:val="CommentReference"/>
        </w:rPr>
        <w:commentReference w:id="4"/>
      </w:r>
      <w:r>
        <w:rPr>
          <w:sz w:val="16"/>
          <w:vertAlign w:val="superscript"/>
        </w:rPr>
        <w:t xml:space="preserve"> [3]</w:t>
      </w:r>
    </w:p>
    <w:p>
      <w:commentRangeStart w:id="5"/>
      <w:r>
        <w:t>Vaccines add INR830mn of revenue, rising from INR5,500mn in FY26 to INR6,330mn in FY28E, or 7.3% CAGR. Influvac remains the base, with Pneumoshield 14 and Havshield expanding the offering. This growth rate is below our 9.6% forecast for the company. Vaccines therefore support earnings growth without providing the acceleration needed to close the wider growth gap. Extensior and vaccines together explain about one-fifth of incremental FY26–FY28E sales; the balance must come from the remaining portfolio.</w:t>
      </w:r>
      <w:commentRangeEnd w:id="5"/>
      <w:r>
        <w:rPr>
          <w:rStyle w:val="CommentReference"/>
        </w:rPr>
        <w:commentReference w:id="5"/>
      </w:r>
    </w:p>
    <w:p>
      <w:pPr>
        <w:pStyle w:val="Heading1"/>
      </w:pPr>
      <w:r>
        <w:t>Debate 2 Group scale offers limited direct earnings exposure to listed shareholders</w:t>
      </w:r>
    </w:p>
    <w:p>
      <w:r>
        <w:t>Abbott's group position in IPM includes pharmaceutical portfolios held across more than one legal entity. Abbott India shareholders own the listed company's brands, contracts and earnings. Abbott Healthcare Private Limited and Abbott Diagnostics Medical Private Limited are fellow subsidiaries; Abbott India has no subsidiaries of its own. Product supply, conversion and shared-service arrangements create specific revenue and cost flows between them. A higher group market rank provides no evidence of faster growth or additional profit accruing to the listed entity.</w:t>
      </w:r>
      <w:r>
        <w:rPr>
          <w:sz w:val="16"/>
          <w:vertAlign w:val="superscript"/>
        </w:rPr>
        <w:t xml:space="preserve"> [1]</w:t>
      </w:r>
    </w:p>
    <w:p>
      <w:r>
        <w:t>The same distinction applies to diagnostics. Thyroid testing can bring more patients onto Thyronorm and liver assessment can support liver-care prescriptions. The listed company captures those benefits through additional medicine sales. Diagnostics and device profits accrue to the businesses that own those operations. We attach no separate value to those profits in Abbott India's valuation without an ownership interest or a disclosed agreement transferring the economics.</w:t>
      </w:r>
    </w:p>
    <w:p>
      <w:commentRangeStart w:id="6"/>
      <w:r>
        <w:t>Nutrition introduces a potential reduction in the listed revenue base. Our identified basket includes Arachitol Nano, Surbex Gold, Evitol, Thyrocal D3, FloraChamp, Combinorm Plus, Viadek and Abocal, and represents an estimated 5% of listed sales. Abbott's announced global Nutrition separation raises the possibility that some Indian products could move with the business. Applied to FY26 sales, 5% equates to approximately INR3,465mn, around 1.7x the incremental Extensior revenue we forecast through FY28E. The product perimeter remains unconfirmed, so this is a potential exposure rather than a forecast disposal. Any transfer would require assessment of the profits sold, consideration received and costs retained.</w:t>
      </w:r>
      <w:commentRangeEnd w:id="6"/>
      <w:r>
        <w:rPr>
          <w:rStyle w:val="CommentReference"/>
        </w:rPr>
        <w:commentReference w:id="6"/>
      </w:r>
      <w:r>
        <w:rPr>
          <w:sz w:val="16"/>
          <w:vertAlign w:val="superscript"/>
        </w:rPr>
        <w:t xml:space="preserve"> [6]</w:t>
      </w:r>
    </w:p>
    <w:p>
      <w:pPr>
        <w:keepLines/>
        <w:spacing w:before="40" w:after="180"/>
      </w:pPr>
      <w:r>
        <w:rPr>
          <w:i/>
          <w:color w:val="4A4A4A"/>
          <w:sz w:val="19"/>
        </w:rPr>
        <w:t>[Insert Exhibit 4 after this paragraph: slide 46, nutraceutical brand basket and 5% exposure estimate. Title: The identified nutraceutical basket represents potential exposure of about 5% of listed sales.]</w:t>
      </w:r>
    </w:p>
    <w:p>
      <w:pPr>
        <w:pStyle w:val="Heading1"/>
      </w:pPr>
      <w:r>
        <w:t>Debate 3 Brand maturity and dydrogesterone competition limit margin and earnings growth</w:t>
      </w:r>
    </w:p>
    <w:p>
      <w:r>
        <w:t>GI remains the largest identifiable source of growth in our therapy forecasts. We model sales increasing from INR26,329mn in FY26 to INR31,771mn in FY28E, approximately 9.9% CAGR. The INR5,442mn increase accounts for about 39% of total incremental company sales, with Udiliv, Cremaffin and Duphalac supplying most of the increase. These are established franchises, so the forecast requires continued prescription expansion and patient use. Recent GI introductions provide little additional revenue in our FY29E bridge.</w:t>
      </w:r>
    </w:p>
    <w:p>
      <w:r>
        <w:t>Udiliv's opportunity should be assessed within its clinical use. Its active ingredient, ursodeoxycholic acid, is an established liver-care molecule. The 2024 EASL–EASD–EASO guideline finds evidence of biochemical improvement in MASH without proof of histological efficacy. Rising fatty-liver prevalence therefore provides an inadequate basis for extrapolating Udiliv sales across the full disease population. Our GI forecast rests on growth in existing prescription franchises rather than adoption of Udiliv as a proven treatment for MASH.</w:t>
      </w:r>
      <w:r>
        <w:rPr>
          <w:sz w:val="16"/>
          <w:vertAlign w:val="superscript"/>
        </w:rPr>
        <w:t xml:space="preserve"> [8]</w:t>
      </w:r>
    </w:p>
    <w:p>
      <w:r>
        <w:t>Thyronorm provides recurring demand from thyroid-hormone replacement. The commercial drivers are diagnosis, treatment initiation and continued use. Additional strengths help dose titration within the same patient population. Key scheduled strengths face NPPA price limits, with annual revisions linked to WPI. This places the growth burden on patient additions and retention and limits the scope for a price-led step-up. The franchise supports the earnings base through repeat use; accelerating its growth requires more treated patients.</w:t>
      </w:r>
      <w:r>
        <w:rPr>
          <w:sz w:val="16"/>
          <w:vertAlign w:val="superscript"/>
        </w:rPr>
        <w:t xml:space="preserve"> [2, 9]</w:t>
      </w:r>
    </w:p>
    <w:p>
      <w:pPr>
        <w:keepLines/>
        <w:spacing w:before="40" w:after="180"/>
      </w:pPr>
      <w:r>
        <w:rPr>
          <w:i/>
          <w:color w:val="4A4A4A"/>
          <w:sz w:val="19"/>
        </w:rPr>
        <w:t>[Insert Exhibit 5 after this paragraph: slide 42, Udiliv and Thyronorm panels. Title: GI and thyroid growth depend on prescription expansion within established treatment categories.]</w:t>
      </w:r>
    </w:p>
    <w:p>
      <w:r>
        <w:t>Women's health faces a more direct competitive constraint. We forecast sales rising from INR9,000mn in FY26 to INR10,005mn in FY28E, a CAGR of 5.4%. The INR1,005mn increase contributes only about 7% of incremental company sales, despite the therapy representing approximately 13% of the FY26 revenue base. Duphaston contains dydrogesterone, now sold by several lower-priced competitors. Femoston adds menopause exposure and supports gradual growth across the combined franchise.</w:t>
      </w:r>
    </w:p>
    <w:p>
      <w:commentRangeStart w:id="7"/>
      <w:r>
        <w:t>Our price comparison identifies four lower-priced dydrogesterone alternatives: Cipla's Dydrolady, Emcure's Dydrofem, Mankind's Dydroboon and Zydus' Dydrogest. Dydrolady has the lowest displayed price, followed by Dydrofem and Dydroboon, with Dydrogest closer to Duphaston. Competition therefore extends across several established domestic sales forces. These alternatives reduce Abbott's room to raise prices. Maintaining Duphaston's premium requires physician preference and patients willing to pay it, increasing the importance of field coverage and clinical engagement.</w:t>
      </w:r>
      <w:commentRangeEnd w:id="7"/>
      <w:r>
        <w:rPr>
          <w:rStyle w:val="CommentReference"/>
        </w:rPr>
        <w:commentReference w:id="7"/>
      </w:r>
    </w:p>
    <w:p>
      <w:pPr>
        <w:keepLines/>
        <w:spacing w:before="40" w:after="180"/>
      </w:pPr>
      <w:r>
        <w:rPr>
          <w:i/>
          <w:color w:val="4A4A4A"/>
          <w:sz w:val="19"/>
        </w:rPr>
        <w:t>[Insert Exhibit 6 after this paragraph: slide 44, left-hand Duphaston price comparison. Title: Four lower-priced domestic brands constrain Duphaston's pricing headroom.]</w:t>
      </w:r>
    </w:p>
    <w:p>
      <w:commentRangeStart w:id="8"/>
      <w:r>
        <w:t>Duphaston's value share fell from approximately 40% in MAT December 2022 to approximately 25% in MAT March 2025. This is a 15 percentage-point decline and a reduction of roughly 38% in its share of the molecule's sales. Mechanically, the overall molecule market would have needed to grow by 60% over the same interval just to keep Duphaston's revenue unchanged at those two shares. Market expansion can therefore coexist with limited growth for Abbott's brand. Mankind's BSV portfolio adds access to fertility specialists and could increase competition for the same prescribers. We model women's health growing more slowly than the company as Abbott defends this franchise.</w:t>
      </w:r>
      <w:commentRangeEnd w:id="8"/>
      <w:r>
        <w:rPr>
          <w:rStyle w:val="CommentReference"/>
        </w:rPr>
        <w:commentReference w:id="8"/>
      </w:r>
    </w:p>
    <w:p>
      <w:pPr>
        <w:keepLines/>
        <w:spacing w:before="40" w:after="180"/>
      </w:pPr>
      <w:r>
        <w:rPr>
          <w:i/>
          <w:color w:val="4A4A4A"/>
          <w:sz w:val="19"/>
        </w:rPr>
        <w:t>[Insert Exhibit 7 after this paragraph: slide 44, right-hand value-share chart. Title: Duphaston's value share declined by about 15 percentage points between December 2022 and March 2025.]</w:t>
      </w:r>
    </w:p>
    <w:p>
      <w:commentRangeStart w:id="9"/>
      <w:r>
        <w:t>These pressures explain the earnings profile. We forecast operating EBITDA margin, excluding other income, declining from 27.3% in FY26 to 26.8% in FY28E. Defending Duphaston and building newer products require commercial spending as the established brands grow. The 50bp margin reduction leaves EPS compounding at 8.3%, below sales growth of 9.6%. The rating rests on these local franchise economics. The parent's Established Pharmaceuticals business reported 8.4% comparable growth in Q3CY26, which provides little support for a thesis based on a current global pharmaceutical contraction.</w:t>
      </w:r>
      <w:commentRangeEnd w:id="9"/>
      <w:r>
        <w:rPr>
          <w:rStyle w:val="CommentReference"/>
        </w:rPr>
        <w:commentReference w:id="9"/>
      </w:r>
      <w:r>
        <w:rPr>
          <w:sz w:val="16"/>
          <w:vertAlign w:val="superscript"/>
        </w:rPr>
        <w:t xml:space="preserve"> [7]</w:t>
      </w:r>
    </w:p>
    <w:p>
      <w:pPr>
        <w:pStyle w:val="Heading1"/>
      </w:pPr>
      <w:r>
        <w:t>Valuation and risks</w:t>
      </w:r>
    </w:p>
    <w:p>
      <w:r>
        <w:t>We value Abbott India at 29x FY28E EPS of INR856.9, giving a target price of INR24,851. At the reference price of INR25,275, the stock trades at approximately 29.5x the same earnings. Our forecast already includes nearly 10% sales growth, an INR2,100mn Extensior franchise and continued expansion of the core GI brands. With slower growth in women's health and modest margin dilution, we see limited support for a higher earnings multiple. Approximately 2% downside to our target supports Market-Perform.</w:t>
      </w:r>
    </w:p>
    <w:p>
      <w:pPr>
        <w:keepLines/>
        <w:spacing w:before="40" w:after="180"/>
      </w:pPr>
      <w:r>
        <w:rPr>
          <w:i/>
          <w:color w:val="4A4A4A"/>
          <w:sz w:val="19"/>
        </w:rPr>
        <w:t>[Insert Exhibit 8 after this paragraph: slide 48, P/E valuation table. Title: The reference price already reflects our forecast at about 29x FY28E earnings.]</w:t>
      </w:r>
    </w:p>
    <w:p>
      <w:r>
        <w:t>The clearest upside risks are Extensior exceeding INR2,100mn by FY28E, more new brand families reaching scale and Duphaston stabilising its share without additional margin pressure. Downside risks are weaker core GI growth, further loss of dydrogesterone share, lower retained earnings on partnered products and a transfer of listed nutraceutical brands on unfavourable terms. These are the variables that would change our earnings estimates and valuation.</w:t>
      </w:r>
    </w:p>
    <w:p>
      <w:pPr>
        <w:pStyle w:val="Heading1"/>
        <w:pageBreakBefore/>
      </w:pPr>
      <w:r>
        <w:t>References</w:t>
      </w:r>
    </w:p>
    <w:p>
      <w:pPr>
        <w:spacing w:after="240"/>
      </w:pPr>
      <w:r>
        <w:t>Slide forecasts are from the supplied Abbott India analysis, slides 41–48. Contribution percentages are calculated from those forecasts and FY26 reported revenue. Primary references support corporate, product and clinical facts.</w:t>
      </w:r>
    </w:p>
    <w:p>
      <w:pPr>
        <w:spacing w:after="160"/>
      </w:pPr>
      <w:r>
        <w:rPr>
          <w:b/>
          <w:sz w:val="20"/>
        </w:rPr>
        <w:t xml:space="preserve">[1] </w:t>
      </w:r>
      <w:hyperlink r:id="rId10">
        <w:r>
          <w:rPr>
            <w:u w:val="single"/>
            <w:color w:val="000000"/>
            <w:sz w:val="20"/>
          </w:rPr>
          <w:t>Abbott India Annual Report FY2025–26</w:t>
        </w:r>
      </w:hyperlink>
      <w:r>
        <w:rPr>
          <w:sz w:val="20"/>
        </w:rPr>
        <w:t>. Corporate background, ownership, five FY26 launches and financial statements. Notes 16 and 39 cover ownership and related-party relationships.</w:t>
      </w:r>
    </w:p>
    <w:p>
      <w:pPr>
        <w:spacing w:after="160"/>
      </w:pPr>
      <w:r>
        <w:rPr>
          <w:b/>
          <w:sz w:val="20"/>
        </w:rPr>
        <w:t xml:space="preserve">[2] </w:t>
      </w:r>
      <w:hyperlink r:id="rId11">
        <w:r>
          <w:rPr>
            <w:u w:val="single"/>
            <w:color w:val="000000"/>
            <w:sz w:val="20"/>
          </w:rPr>
          <w:t>Abbott India official product directory</w:t>
        </w:r>
      </w:hyperlink>
      <w:r>
        <w:rPr>
          <w:sz w:val="20"/>
        </w:rPr>
        <w:t>. Listed-entity brand mapping, active ingredients and formulations.</w:t>
      </w:r>
    </w:p>
    <w:p>
      <w:pPr>
        <w:spacing w:after="160"/>
      </w:pPr>
      <w:r>
        <w:rPr>
          <w:b/>
          <w:sz w:val="20"/>
        </w:rPr>
        <w:t xml:space="preserve">[3] </w:t>
      </w:r>
      <w:hyperlink r:id="rId12">
        <w:r>
          <w:rPr>
            <w:u w:val="single"/>
            <w:color w:val="000000"/>
            <w:sz w:val="20"/>
          </w:rPr>
          <w:t>Abbott and Novo Nordisk collaboration 27 February 2026</w:t>
        </w:r>
      </w:hyperlink>
      <w:r>
        <w:rPr>
          <w:sz w:val="20"/>
        </w:rPr>
        <w:t>. Extensior indication, originator-brand relationship and manufacturing/commercialisation roles.</w:t>
      </w:r>
    </w:p>
    <w:p>
      <w:pPr>
        <w:spacing w:after="160"/>
      </w:pPr>
      <w:r>
        <w:rPr>
          <w:b/>
          <w:sz w:val="20"/>
        </w:rPr>
        <w:t xml:space="preserve">[4] </w:t>
      </w:r>
      <w:hyperlink r:id="rId13">
        <w:r>
          <w:rPr>
            <w:u w:val="single"/>
            <w:color w:val="000000"/>
            <w:sz w:val="20"/>
          </w:rPr>
          <w:t>Abbott India annual reports FY2022–23 to FY2024–25</w:t>
        </w:r>
      </w:hyperlink>
      <w:r>
        <w:rPr>
          <w:sz w:val="20"/>
        </w:rPr>
        <w:t>. The original reports record 10 launches in FY23, eight in FY24 and seven in FY25.</w:t>
      </w:r>
    </w:p>
    <w:p>
      <w:pPr>
        <w:spacing w:after="160"/>
      </w:pPr>
      <w:r>
        <w:rPr>
          <w:b/>
          <w:sz w:val="20"/>
        </w:rPr>
        <w:t xml:space="preserve">[5] </w:t>
      </w:r>
      <w:hyperlink r:id="rId14">
        <w:r>
          <w:rPr>
            <w:u w:val="single"/>
            <w:color w:val="000000"/>
            <w:sz w:val="20"/>
          </w:rPr>
          <w:t>Abbott India investor meeting 28 September 2022</w:t>
        </w:r>
      </w:hyperlink>
      <w:r>
        <w:rPr>
          <w:sz w:val="20"/>
        </w:rPr>
        <w:t>. Dated 75-product five-year plan and its lifecycle, loss-of-exclusivity and adjacent-therapy categories. PDF pages 3, 16–18 and 28–29; Thyronorm discussion on page 11.</w:t>
      </w:r>
    </w:p>
    <w:p>
      <w:pPr>
        <w:spacing w:after="160"/>
      </w:pPr>
      <w:r>
        <w:rPr>
          <w:b/>
          <w:sz w:val="20"/>
        </w:rPr>
        <w:t xml:space="preserve">[6] </w:t>
      </w:r>
      <w:hyperlink r:id="rId15">
        <w:r>
          <w:rPr>
            <w:u w:val="single"/>
            <w:color w:val="000000"/>
            <w:sz w:val="20"/>
          </w:rPr>
          <w:t>Abbott global Nutrition separation announcement 21 October 2026</w:t>
        </w:r>
      </w:hyperlink>
      <w:r>
        <w:rPr>
          <w:sz w:val="20"/>
        </w:rPr>
        <w:t>. Announced global scope, named nutrition brands and intended completion by end-2027.</w:t>
      </w:r>
    </w:p>
    <w:p>
      <w:pPr>
        <w:spacing w:after="160"/>
      </w:pPr>
      <w:r>
        <w:rPr>
          <w:b/>
          <w:sz w:val="20"/>
        </w:rPr>
        <w:t xml:space="preserve">[7] </w:t>
      </w:r>
      <w:hyperlink r:id="rId16">
        <w:r>
          <w:rPr>
            <w:u w:val="single"/>
            <w:color w:val="000000"/>
            <w:sz w:val="20"/>
          </w:rPr>
          <w:t>Abbott third-quarter 2026 results</w:t>
        </w:r>
      </w:hyperlink>
      <w:r>
        <w:rPr>
          <w:sz w:val="20"/>
        </w:rPr>
        <w:t>. Established Pharmaceuticals grew 8.4% on a comparable basis in Q3CY26.</w:t>
      </w:r>
    </w:p>
    <w:p>
      <w:pPr>
        <w:spacing w:after="160"/>
      </w:pPr>
      <w:r>
        <w:rPr>
          <w:b/>
          <w:sz w:val="20"/>
        </w:rPr>
        <w:t xml:space="preserve">[8] </w:t>
      </w:r>
      <w:hyperlink r:id="rId17">
        <w:r>
          <w:rPr>
            <w:u w:val="single"/>
            <w:color w:val="000000"/>
            <w:sz w:val="20"/>
          </w:rPr>
          <w:t>EASL EASD EASO guideline on MASLD 2024</w:t>
        </w:r>
      </w:hyperlink>
      <w:r>
        <w:rPr>
          <w:sz w:val="20"/>
        </w:rPr>
        <w:t>. UDCA discussion on PDF page 24 distinguishes biochemical improvement from proof of histological efficacy in MASH.</w:t>
      </w:r>
    </w:p>
    <w:p>
      <w:pPr>
        <w:spacing w:after="160"/>
      </w:pPr>
      <w:r>
        <w:rPr>
          <w:b/>
          <w:sz w:val="20"/>
        </w:rPr>
        <w:t xml:space="preserve">[9] </w:t>
      </w:r>
      <w:hyperlink r:id="rId18">
        <w:r>
          <w:rPr>
            <w:u w:val="single"/>
            <w:color w:val="000000"/>
            <w:sz w:val="20"/>
          </w:rPr>
          <w:t>NPPA price regulation framework</w:t>
        </w:r>
      </w:hyperlink>
      <w:r>
        <w:rPr>
          <w:sz w:val="20"/>
        </w:rPr>
        <w:t>. Price-control framework for scheduled formulations. No current pack-specific ceiling price is assumed in the report.</w:t>
      </w:r>
    </w:p>
    <w:sectPr w:rsidR="00FC693F" w:rsidRPr="0006063C" w:rsidSect="00034616">
      <w:footerReference w:type="default" r:id="rId19"/>
      <w:pgSz w:w="12240" w:h="15840"/>
      <w:pgMar w:top="1037" w:right="1152" w:bottom="979" w:left="1152" w:header="720"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29T08:32:34Z">
    <w:p>
      <w:pPr>
        <w:pStyle w:val="CommentText"/>
      </w:pPr>
      <w:r>
        <w:rPr>
          <w:rStyle w:val="CommentReference"/>
        </w:rPr>
        <w:annotationRef/>
      </w:r>
      <w:r>
        <w:t>Slide 48 implies -1.68% downside, rounded to 2%; slide 41 says 3%. Retain one consistent dated reference price. The one-rupee difference from displayed EPS multiplied by 29 is rounding.</w:t>
      </w:r>
    </w:p>
  </w:comment>
  <w:comment w:id="1" w:author="Editorial review" w:initials="ER" w:date="2026-10-29T08:32:34Z">
    <w:p>
      <w:pPr>
        <w:pStyle w:val="CommentText"/>
      </w:pPr>
      <w:r>
        <w:rPr>
          <w:rStyle w:val="CommentReference"/>
        </w:rPr>
        <w:annotationRef/>
      </w:r>
      <w:r>
        <w:t>Use slide 43 and 45 charts as two panels. Slide 45 spans September 2024 to September 2026, rather than twelve months. Its latest endpoint differs from the 6–7% versus 15% bullet, so no exact endpoint pair is quoted. Keep one listed-entity definition.</w:t>
      </w:r>
    </w:p>
  </w:comment>
  <w:comment w:id="2" w:author="Editorial review" w:initials="ER" w:date="2026-10-29T08:32:35Z">
    <w:p>
      <w:pPr>
        <w:pStyle w:val="CommentText"/>
      </w:pPr>
      <w:r>
        <w:rPr>
          <w:rStyle w:val="CommentReference"/>
        </w:rPr>
        <w:annotationRef/>
      </w:r>
      <w:r>
        <w:t>The FY23 annual report states 10 launches; the slide 47 bar appears to show 11. Correct to the reported series 10, 8, 7, 5. The 22-of-30 extension split is the supplied analysis and requires its underlying product classification.</w:t>
      </w:r>
    </w:p>
  </w:comment>
  <w:comment w:id="3" w:author="Editorial review" w:initials="ER" w:date="2026-10-29T08:32:35Z">
    <w:p>
      <w:pPr>
        <w:pStyle w:val="CommentText"/>
      </w:pPr>
      <w:r>
        <w:rPr>
          <w:rStyle w:val="CommentReference"/>
        </w:rPr>
        <w:annotationRef/>
      </w:r>
      <w:r>
        <w:t>The 75-product plan dates to September 2022. Do not describe it as a freshly verified remaining pipeline. Slide 47 group CTRI counts differ from listed annual launches. The red highlight is on Pfizer although the annotation discusses Abbott. Correct the highlight.</w:t>
      </w:r>
    </w:p>
  </w:comment>
  <w:comment w:id="4" w:author="Editorial review" w:initials="ER" w:date="2026-10-29T08:32:35Z">
    <w:p>
      <w:pPr>
        <w:pStyle w:val="CommentText"/>
      </w:pPr>
      <w:r>
        <w:rPr>
          <w:rStyle w:val="CommentReference"/>
        </w:rPr>
        <w:annotationRef/>
      </w:r>
      <w:r>
        <w:t>Derived figures use FY26 sales of INR69,290.5mn and the rounded 9.6% FY26–FY28 CAGR, implying FY28E revenue of about INR83,233mn and incremental revenue of INR13,942mn. Extensior contributes INR2,050mn, about 14.7% of incremental sales and 2.5% of FY28E sales. Public deal material does not disclose retained margins.</w:t>
      </w:r>
    </w:p>
  </w:comment>
  <w:comment w:id="5" w:author="Editorial review" w:initials="ER" w:date="2026-10-29T08:32:35Z">
    <w:p>
      <w:pPr>
        <w:pStyle w:val="CommentText"/>
      </w:pPr>
      <w:r>
        <w:rPr>
          <w:rStyle w:val="CommentReference"/>
        </w:rPr>
        <w:annotationRef/>
      </w:r>
      <w:r>
        <w:t>Extensior plus vaccines contribute INR2,880mn, or about 20.7% of implied incremental sales. GI contributes INR5,442mn, or 39.0%; women’s health contributes INR1,005mn, or 7.2%. All are calculations from slide forecasts, not additional model inputs.</w:t>
      </w:r>
    </w:p>
  </w:comment>
  <w:comment w:id="6" w:author="Editorial review" w:initials="ER" w:date="2026-10-29T08:32:35Z">
    <w:p>
      <w:pPr>
        <w:pStyle w:val="CommentText"/>
      </w:pPr>
      <w:r>
        <w:rPr>
          <w:rStyle w:val="CommentReference"/>
        </w:rPr>
        <w:annotationRef/>
      </w:r>
      <w:r>
        <w:t>The 5% basket is the supplied estimate of potential exposure. INR3,465mn = 5% of FY26 sales; INR3,465mn / INR2,050mn = 1.69x. This compares scale, not an assumed disposal or forecast profit loss. Verify listed brand ownership, revenue, local transfer scope and consideration before publication.</w:t>
      </w:r>
    </w:p>
  </w:comment>
  <w:comment w:id="7" w:author="Editorial review" w:initials="ER" w:date="2026-10-29T08:32:35Z">
    <w:p>
      <w:pPr>
        <w:pStyle w:val="CommentText"/>
      </w:pPr>
      <w:r>
        <w:rPr>
          <w:rStyle w:val="CommentReference"/>
        </w:rPr>
        <w:annotationRef/>
      </w:r>
      <w:r>
        <w:t>Slide 44 displays percentage labels of 46, 25, 20 and 10 alongside prices. Validate that these are discounts to Duphaston using a common strength, pack size and price date before publishing exact percentages. The INR mn axis label is incorrect. Reconcile percentages to the underlying price table.</w:t>
      </w:r>
    </w:p>
  </w:comment>
  <w:comment w:id="8" w:author="Editorial review" w:initials="ER" w:date="2026-10-29T08:32:35Z">
    <w:p>
      <w:pPr>
        <w:pStyle w:val="CommentText"/>
      </w:pPr>
      <w:r>
        <w:rPr>
          <w:rStyle w:val="CommentReference"/>
        </w:rPr>
        <w:annotationRef/>
      </w:r>
      <w:r>
        <w:t>The last share observation is MAT March 2025. The 60% figure is a mechanical breakeven market-expansion calculation: 40% / 25% minus 1. It does not assert actual market growth or absolute brand sales decline. Start the share-chart axis at zero and label percentage value share.</w:t>
      </w:r>
    </w:p>
  </w:comment>
  <w:comment w:id="9" w:author="Editorial review" w:initials="ER" w:date="2026-10-29T08:32:35Z">
    <w:p>
      <w:pPr>
        <w:pStyle w:val="CommentText"/>
      </w:pPr>
      <w:r>
        <w:rPr>
          <w:rStyle w:val="CommentReference"/>
        </w:rPr>
        <w:annotationRef/>
      </w:r>
      <w:r>
        <w:t>Operating EBITDA excludes other income. The 27.3% FY26 margin reconciles on that basis; headline EBITDA including other income is about 31.5%. Forecast margin declines by 50bp. Global EPD growth distinguishes the local brand thesis from an unsupported global-contraction thesis.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hyperlink" Target="https://www.abbott.co.in/content/dam/corp/abbott/en-ind/pdf/financials/2025-26-Annual-Report.pdf" TargetMode="External"/><Relationship Id="rId11" Type="http://schemas.openxmlformats.org/officeDocument/2006/relationships/hyperlink" Target="https://www.abbott.in/products/business-areas/pharmaceuticals-abbott-india-limited.html" TargetMode="External"/><Relationship Id="rId12" Type="http://schemas.openxmlformats.org/officeDocument/2006/relationships/hyperlink" Target="https://www.abbott.com/en-in/news/press-releases/abbott-partners-with-novo-nordisk-india-to-launch-extensior-broadening-access-to-semaglutide-ozempic-for-advanced-diabetes-management" TargetMode="External"/><Relationship Id="rId13" Type="http://schemas.openxmlformats.org/officeDocument/2006/relationships/hyperlink" Target="https://www.abbott.co.in/investor-relations/financials/annual-reports.html" TargetMode="External"/><Relationship Id="rId14" Type="http://schemas.openxmlformats.org/officeDocument/2006/relationships/hyperlink" Target="https://www.abbott.co.in/content/dam/corp/abbott/en-ind/investors/Transcript-of-Investors-Meet-September-28-2022.pdf" TargetMode="External"/><Relationship Id="rId15" Type="http://schemas.openxmlformats.org/officeDocument/2006/relationships/hyperlink" Target="https://abbott.mediaroom.com/2026-10-21-Abbott-announces-its-intention-to-separate-its-global-Nutrition-business-into-an-independent,-publicly-traded-company" TargetMode="External"/><Relationship Id="rId16" Type="http://schemas.openxmlformats.org/officeDocument/2006/relationships/hyperlink" Target="https://www.sec.gov/Archives/edgar/data/1800/000162828026066601/abt-2026q3xexhibitx991.htm" TargetMode="External"/><Relationship Id="rId17" Type="http://schemas.openxmlformats.org/officeDocument/2006/relationships/hyperlink" Target="https://easlcampus.eu/sites/default/files/2024-08/EASL_CPGs_management_of_MASLD.pdf" TargetMode="External"/><Relationship Id="rId18" Type="http://schemas.openxmlformats.org/officeDocument/2006/relationships/hyperlink" Target="https://www.nppaindia.nic.in/proactivedisclosure"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Abbott India Company Analysis</dc:title>
  <dc:subject>Company overview three investment debates and Market Perform 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