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3CC0" w:rsidRPr="00773CC0" w:rsidRDefault="00773CC0" w:rsidP="00773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Merck KGaA: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Merck is the cleanest listed global pharma example in fertility drugs. Its portfolio covers the main drug steps in an IVF cycle: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Gonal-f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stimulates follicle growth,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Ovidrel / Ovitrelle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triggers ovulation,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Cetrotide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prevents premature ovulation,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Crinone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supports the luteal phase, and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Pergoveris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is used where women need both FSH and LH support. This is why Merck is important: IVF is not just a procedure done in a clinic; it also needs a repeat drug protocol before and after egg retrieval. The scale is meaningful. Merck’s fertility franchise was broadly stable in 2025, but the mix is changing: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Gonal-f declined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, while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Pergoveris grew strongly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, showing rising use of more tailored stimulation protocols. Reuters also reported that Gonal-f generated close to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US$1bn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of annual sales. Merck therefore benefits from both more IVF cycles and higher drug use per cycle. </w:t>
      </w:r>
    </w:p>
    <w:p w:rsidR="00773CC0" w:rsidRPr="00773CC0" w:rsidRDefault="00773CC0" w:rsidP="00773CC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Ferring Pharma: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Ferring is the best private-company benchmark for fertility medicines.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Menopur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is the anchor product. It is used to stimulate multiple follicles in women undergoing ART, which makes it directly linked to IVF cycle growth. Around Menopur, Ferring has built a broader fertility basket: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Rekovelle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for personalised ovarian stimulation,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Decapeptyl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for cycle control,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Choragon / Brevactid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as trigger products, and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Endometrin / Lutinus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 for progesterone support. This gives Ferring presence across stimulation, cycle control, ovulation trigger and luteal support. The numbers show the quality of the category: Ferring’s reproductive medicine franchise crossed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€1bn sales in 2024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 xml:space="preserve">, and 2025 total revenue exceeded </w:t>
      </w:r>
      <w:r w:rsidRPr="00773C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€2.5bn</w:t>
      </w:r>
      <w:r w:rsidRPr="00773CC0">
        <w:rPr>
          <w:rFonts w:ascii="Times New Roman" w:eastAsia="Times New Roman" w:hAnsi="Times New Roman" w:cs="Times New Roman"/>
          <w:kern w:val="0"/>
          <w14:ligatures w14:val="none"/>
        </w:rPr>
        <w:t>, mainly driven by Menopur. This is the strongest proof that fertility medicines are already a large prescription market, not a wellness market.</w:t>
      </w:r>
    </w:p>
    <w:p w:rsidR="00CC1A3C" w:rsidRDefault="00CC1A3C"/>
    <w:sectPr w:rsidR="00CC1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A3C"/>
    <w:rsid w:val="00773CC0"/>
    <w:rsid w:val="007B788F"/>
    <w:rsid w:val="0098646A"/>
    <w:rsid w:val="00CC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9210C"/>
  <w15:chartTrackingRefBased/>
  <w15:docId w15:val="{E9A80362-2D43-E748-86A8-C962E492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1A3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CC1A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1A3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1A3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C1A3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02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65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30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3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04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30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2</cp:revision>
  <dcterms:created xsi:type="dcterms:W3CDTF">2026-07-10T09:40:00Z</dcterms:created>
  <dcterms:modified xsi:type="dcterms:W3CDTF">2026-07-10T10:16:00Z</dcterms:modified>
</cp:coreProperties>
</file>