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India GLP-1: The market has opened, but semaglutide is already becoming only one part of the obesity story</w:t>
      </w:r>
    </w:p>
    <w:p>
      <w:r>
        <w:t>Research cut-off: 23 July 2026. India market data is based principally on the supplied IQVIA exhibits through the June 2026 quarter. Market forecasts and company-level interpretations are Bernstein estimates.</w:t>
      </w:r>
    </w:p>
    <w:p>
      <w:r>
        <w:t>HIGHLIGHTS</w:t>
      </w:r>
    </w:p>
    <w:p>
      <w:r>
        <w:t>India's semaglutide patent expiry has created a large number of launches, but the first three months show a market that is broadening rather than concentrating. The principal compound patent, IN262697, expired on 20 March 2026 and Indian companies entered almost immediately. IQVIA data shows that March brought 20 brands, 55 packs and 11 companies, followed by three additional brands and 22 packs in April. Monthly semaglutide value increased from INR 610 million in February to INR 700 million in March and INR 950 million in April. By April, branded generics had reached 36% of value and 31% of volume, while the June-quarter market reached INR 2.81 billion, split between INR 1.74 billion for innovators and INR 1.07 billion for branded generics. This is meaningful market creation, but it is not the concentrated outcome investors initially expected. Generic prices of roughly INR 3,000-4,000 per month have expanded access from innovator levels that were several times higher, but the same price reduction has diluted revenue per patient and divided demand across companies, brands, strengths and formats. Early sales also include channel filling, samples and first prescriptions before refill behaviour is visible. The initial evidence therefore supports a large but fragmented market, with price driving trial faster than persistence creates durable sales.</w:t>
      </w:r>
    </w:p>
    <w:p>
      <w:r>
        <w:t>The early company data makes the same point. Torrent has the clearest initial branded-generic presence because Semalix and Sembolic are visible across oral, pen and injection formats, while Lupin's Semanext and Livarise use Zydus' reusable-pen platform and provide a more differentiated device proposition. Eris has built early positions in pens and vials, Sun Pharma has entered with Noveltreat and Sematrinity and retains longer-term optionality through utreglutide, and Dr. Reddy's combines oral and injectable semaglutide with API, formulation and export capabilities. Alkem, USV, Glenmark, Natco, MSN, Corona, Mankind and Abbott also participate, but market entry by itself does not establish a moat. Format is already separating value from volume. Pens generated the largest pool of June-quarter semaglutide value, while lower-priced oral products and vials generated more units for each rupee of sales. Novo Nordisk still retained 62% of total semaglutide value, including 82% of oral value and 53% of pen value, because physician familiarity, clinical evidence, device reliability and dose confidence remain relevant even after compound-patent expiry. The market is also moving beyond semaglutide before genericisation has matured. Mounjaro generated INR 4.30 billion in the June quarter, 17% above the March quarter and larger than the entire semaglutide category in the supplied dataset. Semaglutide can continue growing, but it is no longer the only molecule setting the clinical and commercial benchmark.</w:t>
      </w:r>
    </w:p>
    <w:p>
      <w:r>
        <w:t>Our INR 138 billion FY31 India GLP-1 estimate remains achievable, but the path from category growth to company earnings is narrower than the headline market size suggests. The forecast includes semaglutide, tirzepatide and later molecules and implies that GLP-1 can add roughly 3% to the future Indian Pharmaceutical Market. A leading domestic company generating INR 3-4 billion of annual revenue would need only 2.2-2.9% share of this market, but sustaining even that share will require breadth across strengths, formats and molecules as prices decline and competitors multiply. The economic pool should therefore move away from undifferentiated peptide supply toward formulation, sterile fill-finish, devices, distribution, specialist access and patient support. The same market expansion will reshape diabetes therapy: our model increases GLP-1 value share from 6% in FY26 to 36% by FY31 and reduces insulin's share from 22% to 13%, although insulin remains essential in type 1 diabetes and advanced beta-cell failure. The next global pipeline raises the bar further through oral small molecules, higher-dose GLP-1, dual and triple agonists, amylin combinations and infrequently dosed assets. RNA interference may later improve body composition and maintenance rather than replace incretins outright. The investment conclusion is selective: reward durable share, device control, specialist conversion and multi-molecule capability; give limited credit to companies whose only advantage is launching another low-priced semaglutide brand.</w:t>
      </w:r>
    </w:p>
    <w:p>
      <w:r>
        <w:t>1. INDIA AFTER THE SEMAGLUTIDE PATENT EXPIRY: SALES HAVE STARTED, BUT THE MARKET HAS NOT YET SETTLED</w:t>
      </w:r>
    </w:p>
    <w:p>
      <w:r>
        <w:t>The starting point is the patent event because it explains both the speed of entry and the limits of what became generic. Indian Patent IN262697 covered acylated GLP-1 analogues and specifically included semaglutide. The Delhi High Court recorded that the patent would expire on 20 March 2026, and domestic branded-generic launches followed immediately. The expiry removed the principal compound-patent barrier, but it did not make every formulation and device freely interchangeable. Oral absorption technology, manufacturing processes, strength configuration, cartridges, injectors and human-factor design can remain protected or technically difficult even when the active molecule is available. This is why the India market did not open as one homogeneous generic product. It opened as several related markets: oral tablets, conventional injections, vials, cartridges, reusable pens and prefilled pens. Each format carries a different price, dose architecture, manufacturing burden and physician proposition. The commercial outcome therefore depends on more than access to semaglutide API. It depends on whether a company can deliver a full titration ladder, reliable supply and a product that doctors and patients are prepared to use repeatedly.</w:t>
      </w:r>
    </w:p>
    <w:p>
      <w:r>
        <w:t>The first three months show rapid supply formation, followed by a slower conversion into concentrated sales. February was effectively an innovator market with INR 610 million of value. March increased to INR 700 million after 20 brands, 55 packs and 11 companies entered. April added three brands and 22 packs, lifting value to INR 950 million and monthly volume to roughly 1.76 million units. Branded generics created almost all of the April increase, adding around INR 240 million of value and 0.43 million units, while innovators added limited value and lost some volume. By the June quarter, semaglutide value had reached INR 2.81 billion, of which branded generics accounted for INR 1.07 billion. The direction is clear: lower prices have expanded the number of packs sold, but value has not risen at the same rate as volume. This is the central commercial feature of the Indian market. A low-priced tablet or vial can produce high unit growth without creating comparable revenue, while a pen can produce greater value with fewer units because the device, fill-finish and convenience layers are priced into the product. The first quarter should therefore be read through value per unit, format mix and refill demand rather than through launch counts or volumes alone.</w:t>
      </w:r>
    </w:p>
    <w:p>
      <w:r>
        <w:t>Company performance is already separating into three groups. Torrent is the clearest early branded-generic leader because it entered quickly and built a family of Semalix and Sembolic products across oral, injection and pen formats. Its early lead reflects commercial breadth and established chronic-market reach rather than a unique molecule. Oral products have supported volume, while pens and injections contribute more value. The risk is that initial rankings still contain inventory loading and launch intensity, and competitors can narrow the gap as their strength ranges broaden. Lupin and Zydus have a different proposition. Lupin has semi-exclusive co-marketing rights for Zydus' 15 mg/3 ml semaglutide injection in a reusable pen under Semanext and Livarise, while Zydus markets the same platform under its own brands. The reusable system can reduce the recurring device cost after the pen is placed with a patient and may create modest switching friction if cartridges remain available and easy to use. Eris has leveraged its diabetes-specialist franchise to build visible pen and vial positions, but its smaller distribution base means that refill conversion matters more than initial share. Sun has not led the first generic quarter, but it has broad specialist access, two launched semaglutide brands and an internally developed obesity asset in utreglutide. Dr. Reddy's combines oral and injectable products with API, formulation and export optionality. Abbott and USV bring physician trust and diabetes reach, while Alkem, Glenmark, Natco, MSN, Corona and Mankind broaden competition without yet showing a distinctive economic position. The market has many participants, but only a few currently have a credible combination of brand, format and channel.</w:t>
      </w:r>
    </w:p>
    <w:p>
      <w:r>
        <w:t>Novo Nordisk's retained share shows why the market cannot be modelled as a conventional patent cliff. Novo still held 62% of June-quarter semaglutide value, with 82% of oral value and 53% of pen value in the supplied IQVIA data. The advantage is not continued exclusivity over the basic molecule. It is the accumulated value of evidence, physician familiarity, dose consistency, supply systems, device reliability and patient confidence. Higher-income patients can rationally pay more for a product they already know, while doctors may prefer an established device during titration. The generic market can therefore grow by adding new patients without immediately displacing the innovator. This also explains why the sales pool is likely to remain segmented. Price-sensitive patients may start with oral or vial products, patients seeking convenience may choose pens, and some specialists will retain innovator brands for complex or higher-risk patients. Identical active ingredients do not create identical commercial outcomes when the product experience is different.</w:t>
      </w:r>
    </w:p>
    <w:p>
      <w:r>
        <w:t>The apparent slowdown after launch is therefore not evidence that demand has failed; it is evidence that launch supply and durable demand are different. GLP-1 treatment begins at a low dose and is increased gradually to reduce gastrointestinal adverse effects. Initial packs may represent trial, samples or the first titration step rather than recurring maintenance sales. India also remains a predominantly self-pay market. INR 3,000-4,000 per month is materially more accessible than pre-expiry innovator pricing, but it is still a recurring household expense. Affordability outside large cities, limited obesity insurance, uneven specialist access, cultural reluctance to medicalise obesity and early discontinuation can all flatten the adoption curve. Patients who stop treatment commonly regain weight, yet the economic burden may still lead Indian patients to use GLP-1 for shorter periods than clinical guidance would recommend. Price can create initiation, but persistence creates the annual revenue pool. The next two to four quarters must therefore establish refill rates, average treatment duration and movement from starter to maintenance doses before the first-quarter sales data can be annualised.</w:t>
      </w:r>
    </w:p>
    <w:p>
      <w:r>
        <w:t>Our market model separates this adoption question from the size of the eventual category. We estimate India GLP-1 value can reach INR 138 billion by FY31 as lower prices expand access and additional molecules enter. This is a category forecast, not a semaglutide forecast and not manufacturer net revenue. It includes tirzepatide and later oral, dual, triple and amylin-based products. The market can become large while remaining economically fragmented. A company needs 0.7% share to generate INR 1 billion, 1.4% for INR 2 billion, 2.2% for INR 3 billion, 2.9% for INR 4 billion and 3.6% for INR 5 billion. These are achievable positions, but they are not blockbuster shares and they must be held through continued price cuts and product turnover. The first-quarter data therefore supports our original conclusion: India can build a large GLP-1 market, but no domestic company should be valued as if semaglutide alone creates a dominant franchise.</w:t>
      </w:r>
    </w:p>
    <w:p>
      <w:r>
        <w:t>2. THE MARKET IS ALREADY MOVING BEYOND SEMAGLUTIDE: THE NON-RNA PIPELINE RAISES THE CLINICAL BAR</w:t>
      </w:r>
    </w:p>
    <w:p>
      <w:r>
        <w:t>Tirzepatide is the first reason semaglutide's strategic duration may be shorter than the size of its generic launch suggests. Tirzepatide activates both GIP and GLP-1 receptors, while semaglutide acts through GLP-1 alone. In SURMOUNT-5, a direct Phase 3b comparison in adults with obesity or overweight without diabetes, maximum tolerated tirzepatide produced 20.2% average weight loss at 72 weeks versus 13.7% with semaglutide using the treatment-regimen estimand. This does not make tirzepatide superior for every patient because price, availability, gastrointestinal tolerability and individual response remain important. It does show that specialists have a clinically differentiated alternative. The India data already reflects this. Mounjaro reached INR 4.30 billion in the June quarter, up 17% from the March quarter and above the INR 2.81 billion semaglutide category. Generic semaglutide has a clear affordability advantage, but it is entering a market where the efficacy benchmark has moved. The likely India market is therefore segmented between lower-priced semaglutide, premium tirzepatide and later products that compete on oral convenience, higher efficacy, lower side effects or longer dosing intervals.</w:t>
      </w:r>
    </w:p>
    <w:p>
      <w:r>
        <w:t>Novo Nordisk is also extending semaglutide rather than relying on the original products. Higher-dose injectable semaglutide and oral semaglutide for obesity increase the efficacy and convenience range within the same franchise. CagriSema combines semaglutide with the amylin analogue cagrilintide. In REDEFINE 1, the combination produced 22.7% weight loss versus 2.3% with placebo at 68 weeks under the hypothetical adherence estimand, creating an efficacy profile closer to tirzepatide while using a complementary satiety pathway. Zenagamtide, previously known as amycretin, combines GLP-1 and amylin activity in one molecule and is being developed in injectable and oral forms. The commercial logic is important for India. Novo can use evidence, brand and devices to defend the premium end while offering different efficacy and format choices. Generic companies that build only a copy of current semaglutide may gain initial volume but face rapid product obsolescence as the innovator portfolio moves to higher dose, oral obesity indications and combination therapy.</w:t>
      </w:r>
    </w:p>
    <w:p>
      <w:r>
        <w:t>Lilly's pipeline broadens the threat. Orforglipron is a non-peptide oral GLP-1 medicine that can be taken without the food and water restrictions associated with oral semaglutide. Its April 2026 US approval demonstrates that scalable small-molecule oral incretins are no longer a distant concept. Oral chemistry can lower manufacturing complexity and expand primary-care use, although liver safety, adherence and long-term outcomes remain important. Retatrutide raises the efficacy ceiling further by activating GIP, GLP-1 and glucagon receptors. In the Phase 3 TRIUMPH-1 study, the 12 mg dose produced 28.3% average weight loss at 80 weeks and 30.3% in a high-BMI extension at 104 weeks. The glucagon component may increase energy expenditure and liver-fat reduction, but it also adds biological complexity and potential tolerability or heart-rate trade-offs. The important investor conclusion is not that retatrutide will replace every existing product. It is that a market formed around 10-15% weight loss is moving toward products that can approach surgical levels of efficacy in selected patients.</w:t>
      </w:r>
    </w:p>
    <w:p>
      <w:r>
        <w:t>The competitive field is broader than Novo and Lilly. Roche's enicepatide, or CT-388, is a weekly GIP/GLP-1 dual agonist that produced 22.5% placebo-adjusted weight loss at 48 weeks at the highest Phase 2 dose, with no plateau at the time of the readout. Roche is also developing oral CT-996 and the amylin analogue petrelintide, including combination strategies that may offer better tolerability. Amgen's MariTide uses GLP-1 agonism with GIP receptor antagonism and a peptide-antibody architecture to support monthly or less frequent dosing. Phase 2 data showed up to 19.9% weight loss at 52 weeks under the efficacy estimand, with dose escalation improving gastrointestinal tolerability. Innovent's mazdutide combines GLP-1 and glucagon activity and produced 18.55% mean weight loss at 60 weeks in the Phase 3 GLORY-2 study, rising to 20.08% in participants without diabetes. Boehringer Ingelheim and Zealand's survodutide, Kailera's ribupatide portfolio and other dual or triple agonists add further competition. Cross-trial comparison requires caution because populations, durations, doses and estimands differ. The common direction is nevertheless clear: future products are differentiating on efficacy, oral administration, dosing frequency, liver-fat benefit, muscle preservation and tolerability rather than on GLP-1 activity alone.</w:t>
      </w:r>
    </w:p>
    <w:p>
      <w:r>
        <w:t>This pipeline changes the economics for Indian companies. Generic semaglutide is most valuable as the entry point into a broader metabolic franchise, not as a standalone product that remains dominant for a decade. Companies need the sales force and patient-support systems to move across molecules as prescribing standards change. They also need delivery capability because the future market includes tablets, reusable cartridges, disposable pens, prefilled products and long-acting injections. Companies with API alone are exposed to price erosion; companies with API, formulation, sterile fill-finish, devices and regulatory capability can capture more layers and serve export markets. The supplied export economics framework illustrates this shift: drug substance represents only a small part of the final price, while fill-finish, the pen or device, commercial costs and operating profit represent most of the pool. The exact percentages will vary by market and product, but the direction is credible. Post-generic obesity economics should resemble specialty pharma more than commodity oral generics because the moat sits in delivery, evidence and commercial execution.</w:t>
      </w:r>
    </w:p>
    <w:p>
      <w:r>
        <w:t>3. THE BIOLOGY OF HUNGER EXPLAINS WHY THE PIPELINE IS DIVERSIFYING</w:t>
      </w:r>
    </w:p>
    <w:p>
      <w:r>
        <w:t>Hunger is not one signal and obesity is not simply excess appetite. The body regulates weight through a homeostatic system that protects energy stores and a hedonic system that responds to taste, reward and the environment. In the hypothalamus, POMC/CART neurons promote satiety while NPY/AgRP neurons promote hunger. The brainstem receives signals from the vagus nerve and gut, while reward circuits influence the desire to eat even when energy needs have been met. The stomach and intestine add short-term signals through GLP-1, GIP, PYY and CCK, while ghrelin rises before meals and stimulates hunger. Insulin and leptin provide longer-term information about glucose and stored energy, although obesity can reduce sensitivity to these signals. Weight loss activates a biological defence: hunger increases, energy expenditure falls and the body becomes more efficient, creating adaptive thermogenesis and a tendency to regain weight. This is why a medicine that produces initial weight loss may still fail commercially if side effects cause discontinuation or if weight returns after treatment stops.</w:t>
      </w:r>
    </w:p>
    <w:p>
      <w:r>
        <w:t>Semaglutide works across several parts of this system. It increases glucose-dependent insulin secretion, reduces inappropriate glucagon release, slows gastric emptying most strongly early in treatment and acts on brain and brainstem pathways that reduce appetite and food reward. Its glucose dependence limits hypoglycaemia when used without insulin or sulfonylureas, while its gastrointestinal effects contribute to both efficacy and nausea. Adding GIP, as with tirzepatide, can improve insulin response and may alter central and adipose signalling, producing greater weight loss in the direct comparison. Adding glucagon, as with retatrutide, mazdutide and survodutide, may increase energy expenditure and reduce liver fat, but can raise glucose and heart-rate concerns that must be balanced by GLP-1 and GIP effects. Adding amylin, as with CagriSema, petrelintide and zenagamtide, increases satiation through a complementary brainstem pathway and can reduce meal size without relying on the same receptor. MariTide takes a different route by activating GLP-1 while blocking GIP receptors, aiming for durable efficacy with monthly dosing. These mechanisms are not interchangeable. They change the balance between appetite suppression, energy expenditure, glucose control, nausea, lean-mass loss and dosing convenience.</w:t>
      </w:r>
    </w:p>
    <w:p>
      <w:r>
        <w:t>The next phase of obesity treatment will therefore be judged on the quality and durability of weight loss, not the headline percentage alone. Incretin therapies reduce fat but also reduce some lean mass as body weight falls. Patients and physicians increasingly care about visceral fat, liver fat, physical function and muscle preservation. Long treatment duration also makes convenience and persistence central. A daily tablet may expand primary-care use, a weekly pen may provide reliable titration, and a monthly injection may reduce adherence burden, but each format has different manufacturing and tolerability risks. Combination therapy may allow lower doses of each mechanism and improve side effects, or it may increase complexity. The most commercially relevant assets are likely to be those that provide sufficient efficacy with tolerability that patients can sustain, a format that fits real-world use and benefits beyond the scale, including diabetes control, cardiovascular outcomes, sleep apnoea, osteoarthritis or MASH. This framework also explains why India may adopt differently from the US. The clinically best product is not always the economically accessible product, and a lower-cost therapy with moderate efficacy may generate more patients while a premium therapy captures more value.</w:t>
      </w:r>
    </w:p>
    <w:p>
      <w:r>
        <w:t>4. RNA INTERFERENCE IS A DIFFERENT OBESITY THESIS: BODY COMPOSITION AND MAINTENANCE BEFORE REPLACEMENT</w:t>
      </w:r>
    </w:p>
    <w:p>
      <w:r>
        <w:t>RNA interference moves the market from stimulating hormone receptors to switching down the production of selected proteins. Small interfering RNA, or siRNA, is designed to bind a specific messenger RNA and cause its destruction, reducing the amount of protein produced. GalNAc conjugation directs many siRNA medicines to the liver because hepatocytes efficiently take up the molecule. This enables infrequent dosing, often every few months, but also limits which tissues can be reached easily. Adipose and brain delivery remain harder. RNA silencing is different from permanent gene editing: the effect can last for months but gradually wears off as new RNA is produced, while CRISPR-based editing changes DNA and creates a much higher safety threshold. The appeal in obesity is clear. A therapy given once or twice a year could reduce adherence burden and may target fat biology without requiring continuous appetite suppression. The risk is equally clear. If an adverse biological effect appears, it may persist for months, and obesity is heterogeneous enough that one genetic pathway may not work across all patients.</w:t>
      </w:r>
    </w:p>
    <w:p>
      <w:r>
        <w:t>Wave Life Sciences' WVE-007 provides the clearest early human evidence. WVE-007 is a GalNAc-siRNA that silences INHBE, reducing Activin E, a liver-derived signal linked through human genetics to visceral fat and metabolic risk. In the Phase 1 INLIGHT trial, a single 240 mg dose produced a placebo-adjusted 14.3% reduction in visceral fat and a 5.3% reduction in total fat at six months, while lean mass increased by 2.4% and body weight fell by only 0.9%. The difference between fat loss and scale weight is the central point. The programme appears to improve body composition without the muscle loss that can accompany rapid incretin-driven weight reduction, but it has not yet shown stand-alone weight loss comparable with GLP-1 combinations. Durable Activin E suppression supports once- or twice-yearly dosing, and Wave initiated the Phase 2a portion of INLIGHT in June 2026 in patients with higher BMI and comorbidities. The company also plans incretin add-on and post-incretin maintenance studies. The most credible commercial role is therefore as a combination that improves fat quality and muscle preservation, or as maintenance after initial weight loss, rather than as an immediate substitute for tirzepatide or retatrutide.</w:t>
      </w:r>
    </w:p>
    <w:p>
      <w:r>
        <w:t>Arrowhead is testing the same broad pathway through ARO-INHBE and a second adipose target through ARO-ALK7. In interim Phase 1/2a data, ARO-INHBE combined with low-dose tirzepatide produced 9.4% weight loss at week 16 versus 4.8% with tirzepatide alone, alongside 23.2% visceral-fat, 15.4% total-fat and 76.7% liver-fat reduction in the reported cohort. Monotherapy has also reduced visceral and liver fat, with effects persisting long enough to support potential twice-yearly dosing. ARO-ALK7 is more ambitious because it targets a gene expressed in adipose tissue rather than relying on liver delivery alone. Arrowhead reported mean ALK7 mRNA knockdown of 88% and early placebo-adjusted visceral-fat reduction, but the programme remains at a very early stage and body-weight efficacy is not established. These assets could solve two weaknesses of current incretins: loss of lean mass and weight regain after withdrawal. They may also benefit MASH and cardiometabolic risk through visceral and liver-fat reduction. They may fail if the scale-weight effect remains modest, tissue delivery is inconsistent, long-duration safety is problematic or combination treatment becomes too expensive. For investors, RNAi is a second wave with genuine biological differentiation, but current data supports optionality rather than a near-term replacement market.</w:t>
      </w:r>
    </w:p>
    <w:p>
      <w:r>
        <w:t>5. INDIA PHARMA IMPLICATIONS AND INVESTMENT CONCLUSION</w:t>
      </w:r>
    </w:p>
    <w:p>
      <w:r>
        <w:t>The India winner is unlikely to be the company with the first launch or the lowest price. Torrent currently has the best evidence of early branded execution because it has built a multi-format architecture and appears across the leading generic brands. The next test is whether it retains patients after channel inventory normalises. Lupin and Zydus have the clearest device-led proposition through the reusable-pen arrangement, which can lower recurring cost and create an installed base, although device reliability, cartridge availability and ownership of the underlying technology still need to be tested. Sun Pharma combines scale in specialists with generic products and utreglutide pipeline optionality, giving it a route beyond semaglutide. Dr. Reddy's has the broadest combination of API, oral and injectable formulation and export potential. Eris can use a focused diabetes field force to convert endocrinologist relationships into repeat prescriptions, but its smaller scale and dependence on selected formats limit the absolute opportunity. Abbott and USV bring physician access, while Alkem, Mankind, Glenmark, Natco, MSN and Corona are currently broader participation stories. We would not assign material value to these companies until sustained share, full titration breadth and repeat prescriptions become visible.</w:t>
      </w:r>
    </w:p>
    <w:p>
      <w:r>
        <w:t>The category can still be financially important. Our model increases the Indian anti-diabetic market from roughly INR 225 billion in FY26 to INR 446 billion by FY31, with GLP-1 expanding from 6% to 36% of value. Insulin falls from 22% to 13%, a nine-percentage-point decline, as GLP-1 delays insulin initiation in some type 2 diabetes patients and gains value through obesity treatment. Insulin will remain essential for type 1 diabetes, advanced beta-cell failure, severe hyperglycaemia, pregnancy-related use and acute care, so this is a relative share shift rather than substitution. The same appetite suppression and rapid weight loss may support demand for protein and clinical nutrition, but this should remain a secondary adjacency because the size of the incremental effect is not yet established. The more important earnings implication lies in the value chain. Peptide supply is necessary but increasingly commoditised. Sterile fill-finish, cartridges, pens, dose accuracy, cold-chain reliability, specialist distribution and patient support create more defensible margins. Export markets can offer higher prices, but require regulatory quality, capital and partner access. Domestic launch participation is therefore not evidence of a global obesity franchise.</w:t>
      </w:r>
    </w:p>
    <w:p>
      <w:r>
        <w:t>Investors should monitor five variables over the next four quarters. First, value per unit will show whether patient growth offsets price erosion. Second, three- and six-month refills will separate durable treatment from launch stocking. Third, pen and cartridge share will indicate whether device-led products retain more value than low-cost tablets and vials. Fourth, Novo and Lilly's value shares will show how quickly physician confidence and premium clinical positioning erode. Fifth, the growth of tirzepatide and later oral or combination products will determine how much strategic life generic semaglutide retains. Our central view remains that India will build a large GLP-1 market, but company economics will be fragmented and the product cycle will move quickly. The companies that deserve premium value are those that can control delivery, convert specialists, retain patients and move across molecules. The companies that only manufacture another peptide or launch another low-priced brand should receive limited credit.</w:t>
      </w:r>
    </w:p>
    <w:p>
      <w:r>
        <w:t>SOURCE NOTE</w:t>
      </w:r>
    </w:p>
    <w:p>
      <w:r>
        <w:t>1. Delhi High Court, Novo Nordisk A/S v Dr. Reddy's Laboratories Limited and related semaglutide patent proceedings, March 2026.</w:t>
        <w:br/>
        <w:t>2. Supplied IQVIA semaglutide market exhibits through the June 2026 quarter.</w:t>
        <w:br/>
        <w:t>3. Novo Nordisk Annual Report 2025 and pipeline disclosures.</w:t>
        <w:br/>
        <w:t>4. Eli Lilly SURMOUNT-5, Foundayo and TRIUMPH-1 disclosures, 2025-2026.</w:t>
        <w:br/>
        <w:t>5. Roche CT-388 and obesity-pipeline disclosures, January-June 2026.</w:t>
        <w:br/>
        <w:t>6. Amgen MariTide Phase 2 disclosure, June 2025.</w:t>
        <w:br/>
        <w:t>7. Innovent GLORY-2 mazdutide disclosure and JAMA publication, June 2026.</w:t>
        <w:br/>
        <w:t>8. Wave Life Sciences INLIGHT WVE-007 disclosures, March and June 2026.</w:t>
        <w:br/>
        <w:t>9. Arrowhead ARO-INHBE and ARO-ALK7 disclosures, January-May 2026.</w:t>
        <w:br/>
        <w:t>10. Lupin and Zydus semaglutide licensing and reusable-pen disclosure, March 2026.</w:t>
        <w:br/>
        <w:t>11. Sun Pharma and Dr. Reddy's semaglutide launch disclosures, 2026.</w:t>
        <w:br/>
        <w:t>12. Bernstein market, therapy-mix and value-pool estimates supplied with the assignment.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