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Aurobindo Pharma and Dr Reddy Labs (NC) both had recent USFDA observation events, and the stocks still moved up. Aurobindo closed up 1.6% on the previous trading day and is up 3.7% over one week, despite its Auroactive Pharma inspection ending with two observations. Dr Reddy Labs (NC) rose as much as 4.4% intraday today after the USFDA issued seven observations at its Bachupally biologics facility. Why? The market is looking through manageable inspection outcomes and focusing on a larger pricing signal: US generic supply is tightening in clinically essential drugs, especially sterile injectables, which supports our above consensus US generics pricing view.</w:t>
      </w:r>
    </w:p>
    <w:p>
      <w:pPr>
        <w:pStyle w:val="BodyText"/>
      </w:pPr>
      <w:r>
        <w:t xml:space="preserve">The recent trigger is a US shortage of ifosfamide injection, an old but important chemotherapy drug used in cancer treatment. US authorities have reportedly reached out to Indian industry bodies to identify suppliers for ifosfamide injection in 1g and 3g strengths, with Zydus, Cipla, Alkem and Aurobindo’s GLS named in media reports as relevant Indian manufacturers. The shortage has affected Baxter, Fresenius Kabi and Hikma presentations. The broader shortage picture is also important: ASHP shows 223 active US drug shortages, while USP’s 2025 work shows average shortage duration has increased to 5.3 years and 71% of shortages are sterile injectables. The shortage basket is concentrated in oncology and hospital products such as ifosfamide, carboplatin, cisplatin, oxaliplatin, docetaxel, paclitaxel, corticosteroids, antiemetics, amphotericin products and propofol.</w:t>
      </w:r>
    </w:p>
    <w:p>
      <w:pPr>
        <w:pStyle w:val="BodyText"/>
      </w:pPr>
      <w:r>
        <w:t xml:space="preserve">The investment conclusion is positive for Indian pharma, but the benefit is uneven. Aurobindo has the strongest direct read-through through sterile injectables and hospital products, although site status remains key. Zydus benefits from oncology injectable relevance and the reported ifosfamide supply discussion. Sun Pharma benefits from a more stable US pricing cycle, complex generics and oncology capabilities. Lupin benefits through lower US price erosion and a better complex generic environment. Dr Reddy Labs (NC) also benefits from the same oncology and US generics pricing setup, supported by recent US oncology launches. The key point is simple: the ifosfamide shortage itself is not large enough to move large-cap earnings, but it validates that US generic price erosion has lost momentum and that essential sterile injectables now have a clearer pricing floor.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2026-06-29T11:26:33Z</dcterms:created>
  <dcterms:modified xsi:type="dcterms:W3CDTF">2026-06-29T11:26:33Z</dcterms:modified>
</cp:coreProperties>
</file>

<file path=docProps/custom.xml><?xml version="1.0" encoding="utf-8"?>
<Properties xmlns="http://schemas.openxmlformats.org/officeDocument/2006/custom-properties" xmlns:vt="http://schemas.openxmlformats.org/officeDocument/2006/docPropsVTypes"/>
</file>