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788F" w:rsidRDefault="007A4ED1">
      <w:r>
        <w:t xml:space="preserve">Thanks Priyanka, this is a fair point. Our view is that GLP-1 uptake is more likely to pressure insulin growth in developed markets than create a lasting insulin shortage in LMICs. LMIC insulin demand should remain resilient because GLP-1 access is still limited by affordability and reimbursement, while insulin remains essential for type 1 and advanced type 2 diabetes. The important point is that any </w:t>
      </w:r>
      <w:proofErr w:type="spellStart"/>
      <w:r>
        <w:t>deprioritisation</w:t>
      </w:r>
      <w:proofErr w:type="spellEnd"/>
      <w:r>
        <w:t xml:space="preserve"> by Novo/Sanofi/Lilly is unlikely to leave a permanent vacuum; it should instead open share-gain opportunities for lower-cost insulin and biosimilar players such as Biocon/Eris, Lupin, </w:t>
      </w:r>
      <w:proofErr w:type="spellStart"/>
      <w:r>
        <w:t>Wockhardt</w:t>
      </w:r>
      <w:proofErr w:type="spellEnd"/>
      <w:r>
        <w:t xml:space="preserve"> and regional manufacturers like Gan &amp; Lee/</w:t>
      </w:r>
      <w:proofErr w:type="spellStart"/>
      <w:r>
        <w:t>Tonghua</w:t>
      </w:r>
      <w:proofErr w:type="spellEnd"/>
      <w:r>
        <w:t>/</w:t>
      </w:r>
      <w:proofErr w:type="spellStart"/>
      <w:r>
        <w:t>Julphar</w:t>
      </w:r>
      <w:proofErr w:type="spellEnd"/>
      <w:r>
        <w:t xml:space="preserve">. </w:t>
      </w:r>
      <w:proofErr w:type="gramStart"/>
      <w:r>
        <w:t>So</w:t>
      </w:r>
      <w:proofErr w:type="gramEnd"/>
      <w:r>
        <w:t xml:space="preserve"> we would frame this less as a global supply-demand gap, and more as a mix-shift: originators lose growth/margin focus in insulin, while EM/local players become more relevant in serving LMIC volume demand.</w:t>
      </w:r>
    </w:p>
    <w:sectPr w:rsidR="007B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D1"/>
    <w:rsid w:val="007A4ED1"/>
    <w:rsid w:val="007B788F"/>
    <w:rsid w:val="0098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C2B8FE9-9F1C-864E-BAFA-E5D93BE6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1</cp:revision>
  <dcterms:created xsi:type="dcterms:W3CDTF">2026-07-09T06:37:00Z</dcterms:created>
  <dcterms:modified xsi:type="dcterms:W3CDTF">2026-07-09T06:37:00Z</dcterms:modified>
</cp:coreProperties>
</file>