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5B15" w:rsidRPr="00E05B15" w:rsidRDefault="00E05B15" w:rsidP="00E05B1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05B15">
        <w:rPr>
          <w:rFonts w:ascii="Times New Roman" w:eastAsia="Times New Roman" w:hAnsi="Times New Roman" w:cs="Times New Roman"/>
          <w:b/>
          <w:bCs/>
          <w:kern w:val="36"/>
          <w:sz w:val="48"/>
          <w:szCs w:val="48"/>
          <w14:ligatures w14:val="none"/>
        </w:rPr>
        <w:t>GSK India primer: the legacy franchise is funding a specialty reset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simplest way to understand GSK India is:</w:t>
      </w:r>
    </w:p>
    <w:p w:rsidR="00E05B15" w:rsidRPr="00E05B15" w:rsidRDefault="00E05B15" w:rsidP="00E05B15">
      <w:pPr>
        <w:spacing w:beforeAutospacing="1"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India owns a highly profitable portfolio of mature prescription brands and paediatric vaccines. Management is using that franchise, distribution network and balance sheet to build new businesses in adult vaccination, specialty respiratory medicine and oncology.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investment debate is whether these new products can lift GSK from a high-margin, high-dividend, mid-single-digit-growth company into a sustainable double-digit grower. The valuation already assumes a meaningful portion of that transition succeeds.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This primer is current through 15 September 2026.</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1. What exactly is the listed company?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GlaxoSmithKline Pharmaceuticals Limited, NSE ticker </w:t>
      </w:r>
      <w:r w:rsidRPr="00E05B15">
        <w:rPr>
          <w:rFonts w:ascii="Courier New" w:eastAsia="Times New Roman" w:hAnsi="Courier New" w:cs="Courier New"/>
          <w:kern w:val="0"/>
          <w:sz w:val="20"/>
          <w:szCs w:val="20"/>
          <w14:ligatures w14:val="none"/>
        </w:rPr>
        <w:t>GLAXO</w:t>
      </w:r>
      <w:r w:rsidRPr="00E05B15">
        <w:rPr>
          <w:rFonts w:ascii="Times New Roman" w:eastAsia="Times New Roman" w:hAnsi="Times New Roman" w:cs="Times New Roman"/>
          <w:kern w:val="0"/>
          <w14:ligatures w14:val="none"/>
        </w:rPr>
        <w:t>, is the Indian listed subsidiary of UK-based GSK plc.</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GSK group collectively owns exactly 75% of the listed company through four promoter entities. The remaining 25% is public float.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listed Indian company:</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Manufactures, imports, markets and distributes prescription medicines and vaccines primarily in India. </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Operates a manufacturing plant in Nashik. </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Uses 19 contract manufacturing organisations across India. </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Has more than 3,100 permanent employees. </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Distributes through more than 5,600 stockists, hospitals, traders and government accounts across 1,400-plus towns and cities. </w:t>
      </w:r>
    </w:p>
    <w:p w:rsidR="00E05B15" w:rsidRPr="00E05B15" w:rsidRDefault="00E05B15" w:rsidP="00E05B15">
      <w:pPr>
        <w:numPr>
          <w:ilvl w:val="0"/>
          <w:numId w:val="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Consolidates one small wholly owned subsidiary, Biddle Sawyer Limited.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It does not consolidate GSK plc’s global business, global R&amp;D operations or the Bengaluru Global Capability Centre. It also does not own the former GSK consumer-healthcare portfolio, so Horlicks, Sensodyne and other consumer brands should never appear in this model.</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Almost all revenue is Indian: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787"/>
        <w:gridCol w:w="815"/>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FY26 consolidated revenue</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 crore</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Share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3,769.6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98.6%</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Foreign countries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52.1</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1.4%</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Total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3,821.7</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100.0%</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Biddle Sawyer reported FY26 turnover of ₹51.5 crore. Therefore, for valuation and consolidated financial statements, use consolidated figures. Management presentations frequently discuss standalone figures, which creates small apparent inconsistencies.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w:t>
      </w:r>
      <w:hyperlink r:id="rId5" w:tgtFrame="_new" w:history="1">
        <w:r w:rsidRPr="00E05B15">
          <w:rPr>
            <w:rFonts w:ascii="Times New Roman" w:eastAsia="Times New Roman" w:hAnsi="Times New Roman" w:cs="Times New Roman"/>
            <w:color w:val="0000FF"/>
            <w:kern w:val="0"/>
            <w:u w:val="single"/>
            <w14:ligatures w14:val="none"/>
          </w:rPr>
          <w:t>FY26 annual report</w:t>
        </w:r>
      </w:hyperlink>
      <w:r w:rsidRPr="00E05B15">
        <w:rPr>
          <w:rFonts w:ascii="Times New Roman" w:eastAsia="Times New Roman" w:hAnsi="Times New Roman" w:cs="Times New Roman"/>
          <w:kern w:val="0"/>
          <w14:ligatures w14:val="none"/>
        </w:rPr>
        <w:t xml:space="preserve"> provides the full operating and financial structure.</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2. The business portfolio</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reports a single accounting segment under Ind AS. Commercially, however, the business has three verticals:</w:t>
      </w:r>
    </w:p>
    <w:p w:rsidR="00E05B15" w:rsidRPr="00E05B15" w:rsidRDefault="00E05B15" w:rsidP="00E05B15">
      <w:pPr>
        <w:numPr>
          <w:ilvl w:val="0"/>
          <w:numId w:val="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General Medicines </w:t>
      </w:r>
    </w:p>
    <w:p w:rsidR="00E05B15" w:rsidRPr="00E05B15" w:rsidRDefault="00E05B15" w:rsidP="00E05B15">
      <w:pPr>
        <w:numPr>
          <w:ilvl w:val="0"/>
          <w:numId w:val="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Vaccines </w:t>
      </w:r>
    </w:p>
    <w:p w:rsidR="00E05B15" w:rsidRPr="00E05B15" w:rsidRDefault="00E05B15" w:rsidP="00E05B15">
      <w:pPr>
        <w:numPr>
          <w:ilvl w:val="0"/>
          <w:numId w:val="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Specialty Medicines, consisting mainly of respiratory and oncology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FY26 reported standalone revenue mix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067"/>
        <w:gridCol w:w="2308"/>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Reported category</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FY26 mix</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Approximate revenue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Pharmaceuticals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80.4%</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₹3,047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Vaccines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19.3%</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₹732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Oncology</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0.3%</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₹11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Total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100.0%</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₹3,790 crore</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“Pharmaceuticals” includes General Medicines and specialty respiratory products. Management separately says General Medicines represents more than 70% of total revenue.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Oncology’s 0.3% FY26 share reflects its August 2025 launch and early ramp. By Q1 FY27, management indicated that the oncology operation was producing approximately ₹10 crore of monthly sales.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company’s defined “innovation portfolio” consists of:</w:t>
      </w:r>
    </w:p>
    <w:p w:rsidR="00E05B15" w:rsidRPr="00E05B15" w:rsidRDefault="00E05B15" w:rsidP="00E05B15">
      <w:pPr>
        <w:numPr>
          <w:ilvl w:val="0"/>
          <w:numId w:val="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Shingrix </w:t>
      </w:r>
    </w:p>
    <w:p w:rsidR="00E05B15" w:rsidRPr="00E05B15" w:rsidRDefault="00E05B15" w:rsidP="00E05B15">
      <w:pPr>
        <w:numPr>
          <w:ilvl w:val="0"/>
          <w:numId w:val="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Nucala </w:t>
      </w:r>
    </w:p>
    <w:p w:rsidR="00E05B15" w:rsidRPr="00E05B15" w:rsidRDefault="00E05B15" w:rsidP="00E05B15">
      <w:pPr>
        <w:numPr>
          <w:ilvl w:val="0"/>
          <w:numId w:val="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Trelegy </w:t>
      </w:r>
    </w:p>
    <w:p w:rsidR="00E05B15" w:rsidRPr="00E05B15" w:rsidRDefault="00E05B15" w:rsidP="00E05B15">
      <w:pPr>
        <w:numPr>
          <w:ilvl w:val="0"/>
          <w:numId w:val="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Jemperli </w:t>
      </w:r>
    </w:p>
    <w:p w:rsidR="00E05B15" w:rsidRPr="00E05B15" w:rsidRDefault="00E05B15" w:rsidP="00E05B15">
      <w:pPr>
        <w:numPr>
          <w:ilvl w:val="0"/>
          <w:numId w:val="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Zejula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Innovation represented 7% of Q1 FY27 standalone sales, compared with 4% one year earlier. That equates to roughly ₹65 crore of quarterly revenue. It generated approximately four percentage points, or one-quarter, of reported Q1 growth. </w:t>
      </w:r>
      <w:hyperlink r:id="rId6" w:tgtFrame="_new" w:history="1">
        <w:r w:rsidRPr="00E05B15">
          <w:rPr>
            <w:rFonts w:ascii="Times New Roman" w:eastAsia="Times New Roman" w:hAnsi="Times New Roman" w:cs="Times New Roman"/>
            <w:color w:val="0000FF"/>
            <w:kern w:val="0"/>
            <w:u w:val="single"/>
            <w14:ligatures w14:val="none"/>
          </w:rPr>
          <w:t>Q1 FY27 presentation</w:t>
        </w:r>
      </w:hyperlink>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lastRenderedPageBreak/>
        <w:t>3. General Medicines: the current cash engine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General Medicines remains the largest and most important business. Its strengths are brand recognition, long prescriber relationships, distribution depth and locally manufactured products.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Approximately 95% to 97% of the General Medicines portfolio is manufactured locally, either at Nashik or through manufacturing partners. This supports availability and protects economics from currency volatility.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annual report says:</w:t>
      </w:r>
    </w:p>
    <w:p w:rsidR="00E05B15" w:rsidRPr="00E05B15" w:rsidRDefault="00E05B15" w:rsidP="00E05B15">
      <w:pPr>
        <w:numPr>
          <w:ilvl w:val="0"/>
          <w:numId w:val="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Seven GSK brands are among the top 100 brands in the Indian pharmaceutical market. </w:t>
      </w:r>
    </w:p>
    <w:p w:rsidR="00E05B15" w:rsidRPr="00E05B15" w:rsidRDefault="00E05B15" w:rsidP="00E05B15">
      <w:pPr>
        <w:numPr>
          <w:ilvl w:val="0"/>
          <w:numId w:val="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Fifteen brands generate more than ₹100 crore each. </w:t>
      </w:r>
    </w:p>
    <w:p w:rsidR="00E05B15" w:rsidRPr="00E05B15" w:rsidRDefault="00E05B15" w:rsidP="00E05B15">
      <w:pPr>
        <w:numPr>
          <w:ilvl w:val="0"/>
          <w:numId w:val="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GSK is number one in anti-infectives and dermatology in its relevant markets. </w:t>
      </w:r>
    </w:p>
    <w:p w:rsidR="00E05B15" w:rsidRPr="00E05B15" w:rsidRDefault="00E05B15" w:rsidP="00E05B15">
      <w:pPr>
        <w:numPr>
          <w:ilvl w:val="0"/>
          <w:numId w:val="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Approximately 80% of prescribing healthcare professionals prescribe at least one General Medicines brand. </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The most important brands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227"/>
        <w:gridCol w:w="2749"/>
        <w:gridCol w:w="3105"/>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Brand</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Molecule or class</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What it treats</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Commercial significance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Augmentin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Amoxicillin plus clavulanic acid</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Respiratory, dental, skin and other bacterial infections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GSK’s flagship antibiotic and the number-three brand in the overall Indian pharmaceutical market</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Ceftum</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Cefuroxime axetil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Bacterial respiratory, urinary and other infections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Major oral cephalosporin brand; volume growth has helped offset mandated price reductions</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Calpol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Paracetamol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Fever and pain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India’s leading prescribed paracetamol brand, with tablet and paediatric-liquid franchises</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Eltroxin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Levothyroxine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Hypothyroidism</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Chronic, repeat-use therapy; one of the few large chronic brands in the mature portfolio</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T-Bact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Mupirocin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Local bacterial skin infections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Category leader in topical mupirocin</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Betnovate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Betamethasone-based formulations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Inflammatory skin conditions; some variants combine anti-infective agents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Long-established dermatology franchise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Tenovate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Clobetasol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Steroid-responsive inflammatory skin conditions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Potent topical corticosteroid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lastRenderedPageBreak/>
              <w:t>Flutivate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Topical fluticasone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Inflammatory dermatoses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Corticosteroid dermatology brand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Neosporin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Topical antibiotic combination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Prevention and treatment of minor bacterial skin infections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Mature, widely recognised dermatology brand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Physiogel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Skin-barrier and emollient products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Dry and sensitive skin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Fast-growing dermatology brand; grew 21% in FY26</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CCM</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Calcium and vitamin-D-based supplementation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Bone health and nutritional supplementation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Promoted nutritional brand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Cobadex CZS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Vitamin and mineral combination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Nutritional deficiencies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Mature prescription nutrition brand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Supacef</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Cephalosporin antibiotic franchise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Bacterial infections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Additional anti-infective brand</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company’s </w:t>
      </w:r>
      <w:hyperlink r:id="rId7" w:tgtFrame="_new" w:history="1">
        <w:r w:rsidRPr="00E05B15">
          <w:rPr>
            <w:rFonts w:ascii="Times New Roman" w:eastAsia="Times New Roman" w:hAnsi="Times New Roman" w:cs="Times New Roman"/>
            <w:color w:val="0000FF"/>
            <w:kern w:val="0"/>
            <w:u w:val="single"/>
            <w14:ligatures w14:val="none"/>
          </w:rPr>
          <w:t>official focus-brand list</w:t>
        </w:r>
      </w:hyperlink>
      <w:r w:rsidRPr="00E05B15">
        <w:rPr>
          <w:rFonts w:ascii="Times New Roman" w:eastAsia="Times New Roman" w:hAnsi="Times New Roman" w:cs="Times New Roman"/>
          <w:kern w:val="0"/>
          <w14:ligatures w14:val="none"/>
        </w:rPr>
        <w:t xml:space="preserve"> confirms the major General Medicines, vaccine and specialty franchises.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Current brand performance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 Q1 FY27: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433"/>
        <w:gridCol w:w="1469"/>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Brand</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Share in its represented category</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Value growth</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Augmentin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22.0%</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12.8%</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Calpol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31.2%</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8.1%</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T-Bact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57.5%</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17.9%</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Ceftum</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32.7%</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7.6%</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Key promoted portfolio</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23.4%</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11.3%</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These percentages are shares of the specific categories in which the brand competes. They are not shares of GSK revenue or the total Indian pharmaceutical market.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Likewise, the “23% market share” quoted by the company is its share of its represented market, meaning only the molecules and categories in which GSK participates.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How General Medicines grows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revenue algorithm is:</w:t>
      </w:r>
    </w:p>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Revenue growth=prescription volume+net price+product and dosage mix\text{Revenue growth} = \text{prescription volume} + \text{net price} + \text{product and dosage mix}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Important operating variables include:</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Prescriber penetration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Prescription growth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Monsoon and infection season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Product availability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Government-permitted price increases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Mix between premium dosage forms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Market-share changes </w:t>
      </w:r>
    </w:p>
    <w:p w:rsidR="00E05B15" w:rsidRPr="00E05B15" w:rsidRDefault="00E05B15" w:rsidP="00E05B15">
      <w:pPr>
        <w:numPr>
          <w:ilvl w:val="0"/>
          <w:numId w:val="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New formulations such as Augmentin ES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This is an acute-heavy portfolio. Q2, covering July to September, is generally the largest period because infections, fever and respiratory illnesses increase during the monsoon.</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The structural weakness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is materially underrepresented in cardiology and diabetes, two of India’s largest and fastest-growing chronic therapies. Management itself acknowledges this gap.</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This matters because:</w:t>
      </w:r>
    </w:p>
    <w:p w:rsidR="00E05B15" w:rsidRPr="00E05B15" w:rsidRDefault="00E05B15" w:rsidP="00E05B15">
      <w:pPr>
        <w:numPr>
          <w:ilvl w:val="0"/>
          <w:numId w:val="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Acute demand is seasonal. </w:t>
      </w:r>
    </w:p>
    <w:p w:rsidR="00E05B15" w:rsidRPr="00E05B15" w:rsidRDefault="00E05B15" w:rsidP="00E05B15">
      <w:pPr>
        <w:numPr>
          <w:ilvl w:val="0"/>
          <w:numId w:val="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Antibiotics are exposed to antimicrobial-stewardship concerns. </w:t>
      </w:r>
    </w:p>
    <w:p w:rsidR="00E05B15" w:rsidRPr="00E05B15" w:rsidRDefault="00E05B15" w:rsidP="00E05B15">
      <w:pPr>
        <w:numPr>
          <w:ilvl w:val="0"/>
          <w:numId w:val="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Chronic therapies create longer prescription duration and steadier revenue. </w:t>
      </w:r>
    </w:p>
    <w:p w:rsidR="00E05B15" w:rsidRPr="00E05B15" w:rsidRDefault="00E05B15" w:rsidP="00E05B15">
      <w:pPr>
        <w:numPr>
          <w:ilvl w:val="0"/>
          <w:numId w:val="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Abbott India and several domestic peers have broader chronic portfolios.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Eltroxin, Trelegy, Nucala and the new specialty products gradually improve the chronic mix, although the legacy portfolio remains dominant.</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4. Vaccines: a leadership franchise with an adult-vaccine growth leg</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is the leader in India’s private self-pay vaccine market. Its Q1 FY27 vaccine value share was approximately 26% to 27%, while unit share was approximately 34%.</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company historically focused on private paediatric vaccination. Shingrix and Arexvy expand the commercial call point from paediatricians to physicians, diabetologists, cardiologists, pulmonologists, geriatricians and hospitals.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Paediatric vaccines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7861"/>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Brand</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Protection</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Infanrix Hexa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Six-in-one vaccine covering diphtheria, tetanus, pertussis, hepatitis B, polio and Hib</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lastRenderedPageBreak/>
              <w:t>Synflorix</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Pneumococcal conjugate vaccine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Boostrix</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Tdap booster against tetanus, diphtheria and pertussis</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Havrix</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Hepatitis A</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Menveo</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Meningococcal ACWY disease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Fluarix Tetra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Four-strain seasonal influenza</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Varilrix</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Chickenpox or varicella</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Priorix</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Measles, mumps and rubella</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Private paediatric vaccines benefit from India’s approximately 25 million annual births, but face two constraints:</w:t>
      </w:r>
    </w:p>
    <w:p w:rsidR="00E05B15" w:rsidRPr="00E05B15" w:rsidRDefault="00E05B15" w:rsidP="00E05B15">
      <w:pPr>
        <w:numPr>
          <w:ilvl w:val="0"/>
          <w:numId w:val="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Expansion of free government immunisation can reduce private self-pay demand. </w:t>
      </w:r>
    </w:p>
    <w:p w:rsidR="00E05B15" w:rsidRPr="00E05B15" w:rsidRDefault="00E05B15" w:rsidP="00E05B15">
      <w:pPr>
        <w:numPr>
          <w:ilvl w:val="0"/>
          <w:numId w:val="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Shipment timing can make quarterly sales volatile even when underlying demand is unchanged. </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Shingrix</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Shingrix is a two-dose recombinant adjuvanted vaccine that prevents shingles, or herpes zoster.</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Shingles occurs when the varicella-zoster virus, which remains dormant after chickenpox, reactivates. Risk increases with age and immune compromise.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Commercially, Shingrix is important because:</w:t>
      </w:r>
    </w:p>
    <w:p w:rsidR="00E05B15" w:rsidRPr="00E05B15" w:rsidRDefault="00E05B15" w:rsidP="00E05B15">
      <w:pPr>
        <w:numPr>
          <w:ilvl w:val="0"/>
          <w:numId w:val="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It creates an adult vaccination market that previously had limited scale in India. </w:t>
      </w:r>
    </w:p>
    <w:p w:rsidR="00E05B15" w:rsidRPr="00E05B15" w:rsidRDefault="00E05B15" w:rsidP="00E05B15">
      <w:pPr>
        <w:numPr>
          <w:ilvl w:val="0"/>
          <w:numId w:val="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It is aimed at adults aged 50-plus and immunocompromised populations. </w:t>
      </w:r>
    </w:p>
    <w:p w:rsidR="00E05B15" w:rsidRPr="00E05B15" w:rsidRDefault="00E05B15" w:rsidP="00E05B15">
      <w:pPr>
        <w:numPr>
          <w:ilvl w:val="0"/>
          <w:numId w:val="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second dose creates a completion-rate variable. </w:t>
      </w:r>
    </w:p>
    <w:p w:rsidR="00E05B15" w:rsidRPr="00E05B15" w:rsidRDefault="00E05B15" w:rsidP="00E05B15">
      <w:pPr>
        <w:numPr>
          <w:ilvl w:val="0"/>
          <w:numId w:val="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patient is commonly paying out of pocket. </w:t>
      </w:r>
    </w:p>
    <w:p w:rsidR="00E05B15" w:rsidRPr="00E05B15" w:rsidRDefault="00E05B15" w:rsidP="00E05B15">
      <w:pPr>
        <w:numPr>
          <w:ilvl w:val="0"/>
          <w:numId w:val="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Adoption requires the physician to initiate a preventive-care conversation.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 Q1 FY27:</w:t>
      </w:r>
    </w:p>
    <w:p w:rsidR="00E05B15" w:rsidRPr="00E05B15" w:rsidRDefault="00E05B15" w:rsidP="00E05B15">
      <w:pPr>
        <w:numPr>
          <w:ilvl w:val="0"/>
          <w:numId w:val="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Shingrix grew 65%. </w:t>
      </w:r>
    </w:p>
    <w:p w:rsidR="00E05B15" w:rsidRPr="00E05B15" w:rsidRDefault="00E05B15" w:rsidP="00E05B15">
      <w:pPr>
        <w:numPr>
          <w:ilvl w:val="0"/>
          <w:numId w:val="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It sold approximately 45,000 to 50,000 doses during the quarter. </w:t>
      </w:r>
    </w:p>
    <w:p w:rsidR="00E05B15" w:rsidRPr="00E05B15" w:rsidRDefault="00E05B15" w:rsidP="00E05B15">
      <w:pPr>
        <w:numPr>
          <w:ilvl w:val="0"/>
          <w:numId w:val="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It crossed ₹100 crore of moving-annual-total sales. </w:t>
      </w:r>
    </w:p>
    <w:p w:rsidR="00E05B15" w:rsidRPr="00E05B15" w:rsidRDefault="00E05B15" w:rsidP="00E05B15">
      <w:pPr>
        <w:numPr>
          <w:ilvl w:val="0"/>
          <w:numId w:val="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prescriber base reached approximately 2,600. </w:t>
      </w:r>
    </w:p>
    <w:p w:rsidR="00E05B15" w:rsidRPr="00E05B15" w:rsidRDefault="00E05B15" w:rsidP="00E05B15">
      <w:pPr>
        <w:numPr>
          <w:ilvl w:val="0"/>
          <w:numId w:val="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company is increasingly targeting patients with diabetes and cardiovascular disease.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Management’s commentary is available in the </w:t>
      </w:r>
      <w:hyperlink r:id="rId8" w:tgtFrame="_new" w:history="1">
        <w:r w:rsidRPr="00E05B15">
          <w:rPr>
            <w:rFonts w:ascii="Times New Roman" w:eastAsia="Times New Roman" w:hAnsi="Times New Roman" w:cs="Times New Roman"/>
            <w:color w:val="0000FF"/>
            <w:kern w:val="0"/>
            <w:u w:val="single"/>
            <w14:ligatures w14:val="none"/>
          </w:rPr>
          <w:t>Q1 FY27 earnings transcript</w:t>
        </w:r>
      </w:hyperlink>
      <w:r w:rsidRPr="00E05B15">
        <w:rPr>
          <w:rFonts w:ascii="Times New Roman" w:eastAsia="Times New Roman" w:hAnsi="Times New Roman" w:cs="Times New Roman"/>
          <w:kern w:val="0"/>
          <w14:ligatures w14:val="none"/>
        </w:rPr>
        <w:t>.</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Arexvy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Arexvy is GSK’s adjuvanted vaccine against respiratory syncytial virus, or RSV.</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India marketing authorisation covers:</w:t>
      </w:r>
    </w:p>
    <w:p w:rsidR="00E05B15" w:rsidRPr="00E05B15" w:rsidRDefault="00E05B15" w:rsidP="00E05B15">
      <w:pPr>
        <w:numPr>
          <w:ilvl w:val="0"/>
          <w:numId w:val="1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Adults aged 60 and above. </w:t>
      </w:r>
    </w:p>
    <w:p w:rsidR="00E05B15" w:rsidRPr="00E05B15" w:rsidRDefault="00E05B15" w:rsidP="00E05B15">
      <w:pPr>
        <w:numPr>
          <w:ilvl w:val="0"/>
          <w:numId w:val="1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Adults aged 50 to 59 who are at increased risk.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opportunity is concentrated among older adults with chronic respiratory, cardiac, metabolic or immune conditions. Management estimates an addressable affluent population of approximately 10 million to 12 million adults.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realistic revenue pool will be much smaller initially because:</w:t>
      </w:r>
    </w:p>
    <w:p w:rsidR="00E05B15" w:rsidRPr="00E05B15" w:rsidRDefault="00E05B15" w:rsidP="00E05B15">
      <w:pPr>
        <w:numPr>
          <w:ilvl w:val="0"/>
          <w:numId w:val="1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RSV awareness in adults is low. </w:t>
      </w:r>
    </w:p>
    <w:p w:rsidR="00E05B15" w:rsidRPr="00E05B15" w:rsidRDefault="00E05B15" w:rsidP="00E05B15">
      <w:pPr>
        <w:numPr>
          <w:ilvl w:val="0"/>
          <w:numId w:val="1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This is primarily a self-pay market. </w:t>
      </w:r>
    </w:p>
    <w:p w:rsidR="00E05B15" w:rsidRPr="00E05B15" w:rsidRDefault="00E05B15" w:rsidP="00E05B15">
      <w:pPr>
        <w:numPr>
          <w:ilvl w:val="0"/>
          <w:numId w:val="1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Physicians need education on which patients should receive it. </w:t>
      </w:r>
    </w:p>
    <w:p w:rsidR="00E05B15" w:rsidRPr="00E05B15" w:rsidRDefault="00E05B15" w:rsidP="00E05B15">
      <w:pPr>
        <w:numPr>
          <w:ilvl w:val="0"/>
          <w:numId w:val="1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Price will influence adoption. </w:t>
      </w:r>
    </w:p>
    <w:p w:rsidR="00E05B15" w:rsidRPr="00E05B15" w:rsidRDefault="00E05B15" w:rsidP="00E05B15">
      <w:pPr>
        <w:numPr>
          <w:ilvl w:val="0"/>
          <w:numId w:val="1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It must compete for patients’ preventive-health spending with Shingrix, influenza and pneumococcal vaccination. </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5. Specialty respiratory</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Trelegy Ellipta</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Trelegy contains three medicines in a single once-daily inhaler:</w:t>
      </w:r>
    </w:p>
    <w:p w:rsidR="00E05B15" w:rsidRPr="00E05B15" w:rsidRDefault="00E05B15" w:rsidP="00E05B15">
      <w:pPr>
        <w:numPr>
          <w:ilvl w:val="0"/>
          <w:numId w:val="1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Fluticasone furoate, an inhaled corticosteroid </w:t>
      </w:r>
    </w:p>
    <w:p w:rsidR="00E05B15" w:rsidRPr="00E05B15" w:rsidRDefault="00E05B15" w:rsidP="00E05B15">
      <w:pPr>
        <w:numPr>
          <w:ilvl w:val="0"/>
          <w:numId w:val="1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Umeclidinium, a long-acting muscarinic antagonist </w:t>
      </w:r>
    </w:p>
    <w:p w:rsidR="00E05B15" w:rsidRPr="00E05B15" w:rsidRDefault="00E05B15" w:rsidP="00E05B15">
      <w:pPr>
        <w:numPr>
          <w:ilvl w:val="0"/>
          <w:numId w:val="1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Vilanterol, a long-acting beta agonist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It is primarily a COPD maintenance treatment. It is not a rescue inhaler.</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commercial proposition is adherence and convenience: a patient receives three established classes through one device once a day.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single-inhaler triple-therapy market was approximately ₹513 crore and growing rapidly in early 2026. Trelegy maintained roughly 10,000 to 12,000 monthly units after loss of exclusivity.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risk is generic competition. Ten to twelve generic products have entered. The Ellipta device and physician familiarity protect some share, but price erosion and molecule substitution remain unavoidable pressures.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Nucala</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Nucala, or mepolizumab, is an anti-IL-5 monoclonal antibody. It reduces eosinophils, an immune-cell type involved in severe eosinophilic asthma and certain related diseases.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Its commercial model differs from an inhaler:</w:t>
      </w:r>
    </w:p>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Nucala revenue=active patients×monthly injections×persistence×net price\text{Nucala revenue} = \text{active patients} \times \text{monthly injections} \times \text{persistence} \times \text{net price}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eligible population is much smaller than the general asthma population, but revenue per treated patient is much higher.</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By FY26, more than 3,200 Indian patients had been treated. Q1 FY27 monthly new-patient additions reached approximately 100 to 120, double the previous year’s 50 to 60.</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constraints are diagnosis, eosinophil testing, specialist referral, affordability and persistence on therapy.</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Older respiratory products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Seretide and other established inhaled respiratory products remain part of the wider franchise. They carry lower growth and face generic competition, but provide prescriber relationships that help GSK launch Trelegy and Nucala.</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6. Oncology: small today, central to the narrative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re-entered Indian oncology in August 2025 after having divested its previous oncology business to Novartis in the historic global asset swap.</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business currently has approximately 40 to 45 medical-oncology and haematology personnel. Management said the team was generating roughly ₹10 crore of monthly sales in Q1 FY27.</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Current oncology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708"/>
        <w:gridCol w:w="2536"/>
        <w:gridCol w:w="2268"/>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Product</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Mechanism</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Current Indian use</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Commercial model</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Jemperli</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Dostarlimab, an anti-PD-1 immunotherapy</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First-line advanced or recurrent endometrial cancer; earlier second-line dMMR/MSI-H use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Eligible incidence × biomarker testing × treatment share × treatment duration</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Zejula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Niraparib, oral PARP inhibitor</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Maintenance therapy following response to platinum chemotherapy in advanced ovarian cancer</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Eligible responders × PARP use × monthly therapy × duration</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Blenrep</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Belantamab mafodotin, BCMA-directed antibody-drug conjugate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Approved for relapsed or refractory multiple </w:t>
            </w:r>
            <w:r w:rsidRPr="00E05B15">
              <w:rPr>
                <w:rFonts w:ascii="Times New Roman" w:eastAsia="Times New Roman" w:hAnsi="Times New Roman" w:cs="Times New Roman"/>
                <w:kern w:val="0"/>
                <w14:ligatures w14:val="none"/>
              </w:rPr>
              <w:lastRenderedPageBreak/>
              <w:t>myeloma in earlier treatment lines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Eligible second-line patients × adoption × cycles × net revenue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Ojjaara/Omjjara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Momelotinib, JAK1/JAK2/ACVR1 inhibitor</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Planned Indian launch for myelofibrosis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Diagnosed myelofibrosis patients × anaemia profile × line share × duration</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w:t>
      </w:r>
      <w:hyperlink r:id="rId9" w:tgtFrame="_new" w:history="1">
        <w:r w:rsidRPr="00E05B15">
          <w:rPr>
            <w:rFonts w:ascii="Times New Roman" w:eastAsia="Times New Roman" w:hAnsi="Times New Roman" w:cs="Times New Roman"/>
            <w:color w:val="0000FF"/>
            <w:kern w:val="0"/>
            <w:u w:val="single"/>
            <w14:ligatures w14:val="none"/>
          </w:rPr>
          <w:t>Indian oncology launch announcement</w:t>
        </w:r>
      </w:hyperlink>
      <w:r w:rsidRPr="00E05B15">
        <w:rPr>
          <w:rFonts w:ascii="Times New Roman" w:eastAsia="Times New Roman" w:hAnsi="Times New Roman" w:cs="Times New Roman"/>
          <w:kern w:val="0"/>
          <w14:ligatures w14:val="none"/>
        </w:rPr>
        <w:t xml:space="preserve"> explains the approved Jemperli and Zejula indications.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Jemperli</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Jemperli prevents the PD-1 immune checkpoint from switching off the patient’s T-cells. This allows the immune system to recognise and attack tumour cells more effectively.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commercial variables are:</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Endometrial-cancer incidence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Stage at diagnosis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dMMR/MSI-H testing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Approved treatment line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Physician adoption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Treatment duration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Patient affordability </w:t>
      </w:r>
    </w:p>
    <w:p w:rsidR="00E05B15" w:rsidRPr="00E05B15" w:rsidRDefault="00E05B15" w:rsidP="00E05B15">
      <w:pPr>
        <w:numPr>
          <w:ilvl w:val="0"/>
          <w:numId w:val="1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Government and institutional access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is pursuing additional indications, including rectal and colorectal cancer. Each successful indication effectively enlarges the same brand’s addressable market.</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Zejula</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PARP inhibitors impair a cancer cell’s ability to repair DNA damage. Zejula is used as maintenance after a patient responds to platinum chemotherapy, with the aim of delaying progression.</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Its advantages include once-daily oral dosing and approval across biomarker groups. Commercially, duration on therapy is more important than monthly new-patient additions alone.</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Blenrep</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Blenrep attaches a cytotoxic payload to an antibody targeting BCMA, which is strongly expressed on multiple-myeloma cells.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Management estimates approximately:</w:t>
      </w:r>
    </w:p>
    <w:p w:rsidR="00E05B15" w:rsidRPr="00E05B15" w:rsidRDefault="00E05B15" w:rsidP="00E05B15">
      <w:pPr>
        <w:numPr>
          <w:ilvl w:val="0"/>
          <w:numId w:val="1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 xml:space="preserve">19,000 new Indian multiple-myeloma cases annually. </w:t>
      </w:r>
    </w:p>
    <w:p w:rsidR="00E05B15" w:rsidRPr="00E05B15" w:rsidRDefault="00E05B15" w:rsidP="00E05B15">
      <w:pPr>
        <w:numPr>
          <w:ilvl w:val="0"/>
          <w:numId w:val="1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7,000 to 8,000 patients potentially entering the relevant second-line setting.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Blenrep has received CDSCO approval and is expected to launch during Q2 or Q3 FY27.</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key implementation constraint is ocular toxicity. The US label includes substantial corneal toxicity and requires eye monitoring and dose modifications. India’s exact monitoring system will influence how quickly hospitals can adopt it. </w:t>
      </w:r>
      <w:hyperlink r:id="rId10" w:tgtFrame="_new" w:history="1">
        <w:r w:rsidRPr="00E05B15">
          <w:rPr>
            <w:rFonts w:ascii="Times New Roman" w:eastAsia="Times New Roman" w:hAnsi="Times New Roman" w:cs="Times New Roman"/>
            <w:color w:val="0000FF"/>
            <w:kern w:val="0"/>
            <w:u w:val="single"/>
            <w14:ligatures w14:val="none"/>
          </w:rPr>
          <w:t>FDA’s Blenrep approval summary</w:t>
        </w:r>
      </w:hyperlink>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Oncology ambition</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Management has directionally suggested oncology could reach ₹750 crore to ₹1,000 crore over five years. This would make it a major business, but it still would not independently bridge the company to its ₹8,000 crore FY30 revenue ambition. </w:t>
      </w:r>
      <w:hyperlink r:id="rId11" w:tgtFrame="_new" w:history="1">
        <w:r w:rsidRPr="00E05B15">
          <w:rPr>
            <w:rFonts w:ascii="Times New Roman" w:eastAsia="Times New Roman" w:hAnsi="Times New Roman" w:cs="Times New Roman"/>
            <w:color w:val="0000FF"/>
            <w:kern w:val="0"/>
            <w:u w:val="single"/>
            <w14:ligatures w14:val="none"/>
          </w:rPr>
          <w:t>Recent management interview</w:t>
        </w:r>
      </w:hyperlink>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7. Pipeline and CTRI: what actually matters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company disclosed 26 ongoing Indian trials in May 2026:</w:t>
      </w:r>
    </w:p>
    <w:p w:rsidR="00E05B15" w:rsidRPr="00E05B15" w:rsidRDefault="00E05B15" w:rsidP="00E05B15">
      <w:pPr>
        <w:numPr>
          <w:ilvl w:val="0"/>
          <w:numId w:val="1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14 oncology </w:t>
      </w:r>
    </w:p>
    <w:p w:rsidR="00E05B15" w:rsidRPr="00E05B15" w:rsidRDefault="00E05B15" w:rsidP="00E05B15">
      <w:pPr>
        <w:numPr>
          <w:ilvl w:val="0"/>
          <w:numId w:val="1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8 respiratory and immunology </w:t>
      </w:r>
    </w:p>
    <w:p w:rsidR="00E05B15" w:rsidRPr="00E05B15" w:rsidRDefault="00E05B15" w:rsidP="00E05B15">
      <w:pPr>
        <w:numPr>
          <w:ilvl w:val="0"/>
          <w:numId w:val="1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4 infectious disease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More recent management commentary increased the number to 33 ongoing or planned global and local trials in India, including 27 pivotal studies.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These are trial counts, not 26 or 33 separate molecules. One molecule can have several trials, indications and protocols.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Important pipeline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873"/>
        <w:gridCol w:w="2130"/>
        <w:gridCol w:w="2676"/>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Asset</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Stage or status</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Indication</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Investor relevance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Blenrep</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 approved; launch imminent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Multiple myeloma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Highest-probability near-term oncology launch</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Arexvy</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 authorised; launch planned</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Adult RSV prevention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Extends adult-vaccine infrastructure created by Shingrix</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Hibsago / bepirovirsen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Completed pivotal development; first global approval received in Japan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Chronic hepatitis B</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Large disease burden and potential finite-duration functional-cure proposition</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Ojjaara / momelotinib</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Marketed internationally; Indian launch planned within approximately 12 months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Myelofibrosis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Builds haematology presence alongside Blenrep</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lastRenderedPageBreak/>
              <w:t>Velzatinib</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Phase III</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KIT-mutated gastrointestinal stromal tumour</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Potential differentiated GIST therapy; longer-dated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Mocertatug rezetecan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Late-stage development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B7-H4-positive gynaecological cancers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Could deepen GSK’s women’s oncology franchise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Efimosfermin alfa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Phase III</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MASH and fibrotic liver disease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Monthly FGF21 analogue; earliest global launch expected around 2029</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Gatuzosiran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Phase II</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Metabolic or alcohol-related liver disease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RNA interference therapy targeting HSD17B13</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GSK5784283</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Phase II</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Uncontrolled asthma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Ultra-long-acting anti-TSLP biologic</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Jemperli expansions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Late-stage trials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Rectal, colorectal and other cancers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Increases addressable market without launching a new brand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b/>
                <w:bCs/>
                <w:kern w:val="0"/>
                <w14:ligatures w14:val="none"/>
              </w:rPr>
              <w:t>Camlipixant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Discontinued in refractory chronic cough</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Chronic cough</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Should carry zero value in the model</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GSK’s global Q2 pipeline listed bepirovirsen, efimosfermin, velzatinib, mocertatug rezetecan and the anti-TSLP antibody among the important late-stage or Phase II assets. The same update confirmed that camlipixant development in refractory chronic cough had stopped after Phase III results. </w:t>
      </w:r>
      <w:hyperlink r:id="rId12" w:tgtFrame="_new" w:history="1">
        <w:r w:rsidRPr="00E05B15">
          <w:rPr>
            <w:rFonts w:ascii="Times New Roman" w:eastAsia="Times New Roman" w:hAnsi="Times New Roman" w:cs="Times New Roman"/>
            <w:color w:val="0000FF"/>
            <w:kern w:val="0"/>
            <w:u w:val="single"/>
            <w14:ligatures w14:val="none"/>
          </w:rPr>
          <w:t>GSK Q2 2026 pipeline update</w:t>
        </w:r>
      </w:hyperlink>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Bepirovirsen received its first approval in Japan on 24 August 2026. This is a positive regulatory read-through, although Indian approval, price, access and launch timing remain separate questions. </w:t>
      </w:r>
      <w:hyperlink r:id="rId13" w:tgtFrame="_new" w:history="1">
        <w:r w:rsidRPr="00E05B15">
          <w:rPr>
            <w:rFonts w:ascii="Times New Roman" w:eastAsia="Times New Roman" w:hAnsi="Times New Roman" w:cs="Times New Roman"/>
            <w:color w:val="0000FF"/>
            <w:kern w:val="0"/>
            <w:u w:val="single"/>
            <w14:ligatures w14:val="none"/>
          </w:rPr>
          <w:t>Hibsago Japan approval</w:t>
        </w:r>
      </w:hyperlink>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The correct way to use CTRI</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each trial, map:</w:t>
      </w:r>
    </w:p>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CTRI trial→molecule→indication→phase→pivotal status→readout→CDSCO filing→launch→patient access\text{CTRI trial} \rightarrow \text{molecule} \rightarrow \text{indication} \rightarrow \text{phase} \rightarrow \text{pivotal status} \rightarrow \text{readout} \rightarrow \text{CDSCO filing} \rightarrow \text{launch} \rightarrow \text{patient access}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CTRI registration does not establish:</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Commercialisation by the listed entity.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Successful clinical results.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CDSCO approval.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 xml:space="preserve">A specific launch date.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Indian pricing.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Market penetration. </w:t>
      </w:r>
    </w:p>
    <w:p w:rsidR="00E05B15" w:rsidRPr="00E05B15" w:rsidRDefault="00E05B15" w:rsidP="00E05B15">
      <w:pPr>
        <w:numPr>
          <w:ilvl w:val="0"/>
          <w:numId w:val="1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Revenue rights or economics.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most important pipeline diligence question is therefore:</w:t>
      </w:r>
    </w:p>
    <w:p w:rsidR="00E05B15" w:rsidRPr="00E05B15" w:rsidRDefault="00E05B15" w:rsidP="00E05B15">
      <w:pPr>
        <w:spacing w:beforeAutospacing="1"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If GSK plc owns the asset globally, what evidence establishes that GlaxoSmithKline Pharmaceuticals Limited will commercialise and recognise its Indian revenue?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India’s participation in a global trial makes local approval faster and more plausible. It does not automatically assign the commercial economics to the listed company.</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8. Financial profile</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FY26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8"/>
        <w:gridCol w:w="1368"/>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Metric</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Standalone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Revenue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₹3,790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Growth</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EBITDA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₹1,300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EBITDA margin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34.3%</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PAT before exceptional items</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₹1,010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Cash position quoted by management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₹2,746 crore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ROCE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61%</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Final dividend</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₹57 per share</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Consolidated FY26 revenue was ₹3,821.7 crore and PAT was ₹1,036.0 crore.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most important historical financial development has been margin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680"/>
        <w:gridCol w:w="695"/>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Metric</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FY22</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FY26</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Gross margin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59.4%</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64.8%</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EBITDA margin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23.6%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34.3%</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Employee cost/revenue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19.1%</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16.1%</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This came from product mix, pricing, field-force productivity, restructuring, supply-chain and manufacturing efficiencies and relatively limited direct R&amp;D expense. Much of the underlying discovery and global development expense is carried by GSK plc.</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Q1 FY27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208"/>
        <w:gridCol w:w="875"/>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lastRenderedPageBreak/>
              <w:t>Metric</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Standalone</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Growth</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Revenue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₹924 crore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15%</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EBITDA</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₹293 crore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17%</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EBITDA margin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31.7%</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+50 bps</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PAT</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₹253 crore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24%</w:t>
            </w:r>
          </w:p>
        </w:tc>
      </w:tr>
    </w:tbl>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Consolidated Q1 revenue was approximately ₹938 crore and PAT approximately ₹237 crore. Standalone PAT included a dividend from Biddle Sawyer that disappears on consolidation.</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reported 15% growth needs normalisation:</w:t>
      </w:r>
    </w:p>
    <w:p w:rsidR="00E05B15" w:rsidRPr="00E05B15" w:rsidRDefault="00E05B15" w:rsidP="00E05B15">
      <w:pPr>
        <w:numPr>
          <w:ilvl w:val="0"/>
          <w:numId w:val="1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Four to five percentage points came from a weak comparable quarter caused by prior CMO supply disruptions. </w:t>
      </w:r>
    </w:p>
    <w:p w:rsidR="00E05B15" w:rsidRPr="00E05B15" w:rsidRDefault="00E05B15" w:rsidP="00E05B15">
      <w:pPr>
        <w:numPr>
          <w:ilvl w:val="0"/>
          <w:numId w:val="1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Management described sustainable underlying growth as approximately 9% to 10%. </w:t>
      </w:r>
    </w:p>
    <w:p w:rsidR="00E05B15" w:rsidRPr="00E05B15" w:rsidRDefault="00E05B15" w:rsidP="00E05B15">
      <w:pPr>
        <w:numPr>
          <w:ilvl w:val="0"/>
          <w:numId w:val="1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Volume contributed approximately 3% to 3.5%. </w:t>
      </w:r>
    </w:p>
    <w:p w:rsidR="00E05B15" w:rsidRPr="00E05B15" w:rsidRDefault="00E05B15" w:rsidP="00E05B15">
      <w:pPr>
        <w:numPr>
          <w:ilvl w:val="0"/>
          <w:numId w:val="1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Pricing contributed approximately 6%. </w:t>
      </w:r>
    </w:p>
    <w:p w:rsidR="00E05B15" w:rsidRPr="00E05B15" w:rsidRDefault="00E05B15" w:rsidP="00E05B15">
      <w:pPr>
        <w:numPr>
          <w:ilvl w:val="0"/>
          <w:numId w:val="1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New introductions contributed the remainder.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hyperlink r:id="rId14" w:tgtFrame="_new" w:history="1">
        <w:r w:rsidRPr="00E05B15">
          <w:rPr>
            <w:rFonts w:ascii="Times New Roman" w:eastAsia="Times New Roman" w:hAnsi="Times New Roman" w:cs="Times New Roman"/>
            <w:color w:val="0000FF"/>
            <w:kern w:val="0"/>
            <w:u w:val="single"/>
            <w14:ligatures w14:val="none"/>
          </w:rPr>
          <w:t>Official Q1 FY27 results</w:t>
        </w:r>
      </w:hyperlink>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9. The major stock debates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1. The ₹8,000 crore FY30 ambition is difficult arithmetic</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Management has publicly discussed an ambition to reach ₹8,000 crore of revenue by FY30.</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Starting from ₹3,790 crore in FY26, this requires approximately:</w:t>
      </w:r>
    </w:p>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(8,000/3,790)1/4−1=20.6% CAGR(8,000/3,790)^{1/4}-1 = 20.6\% \text{ CAGR}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That is far above:</w:t>
      </w:r>
    </w:p>
    <w:p w:rsidR="00E05B15" w:rsidRPr="00E05B15" w:rsidRDefault="00E05B15" w:rsidP="00E05B15">
      <w:pPr>
        <w:numPr>
          <w:ilvl w:val="0"/>
          <w:numId w:val="1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FY26 growth of 2%. </w:t>
      </w:r>
    </w:p>
    <w:p w:rsidR="00E05B15" w:rsidRPr="00E05B15" w:rsidRDefault="00E05B15" w:rsidP="00E05B15">
      <w:pPr>
        <w:numPr>
          <w:ilvl w:val="0"/>
          <w:numId w:val="1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Management’s Q1 FY27 sustainable growth estimate of 9% to 10%. </w:t>
      </w:r>
    </w:p>
    <w:p w:rsidR="00E05B15" w:rsidRPr="00E05B15" w:rsidRDefault="00E05B15" w:rsidP="00E05B15">
      <w:pPr>
        <w:numPr>
          <w:ilvl w:val="0"/>
          <w:numId w:val="1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The roughly 10% FY26-FY31 CAGR in our current model.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Even if oncology reaches ₹1,000 crore, the remaining business would still need to grow at approximately 17% annually. The target should currently be treated as an aspiration, with evidence required every quarter.</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2. GSK plc’s pipeline is larger than GSK India’s investable pipeline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parent company has dozens of assets. Only a subset will be:</w:t>
      </w:r>
    </w:p>
    <w:p w:rsidR="00E05B15" w:rsidRPr="00E05B15" w:rsidRDefault="00E05B15" w:rsidP="00E05B15">
      <w:pPr>
        <w:numPr>
          <w:ilvl w:val="0"/>
          <w:numId w:val="1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 xml:space="preserve">Developed in India. </w:t>
      </w:r>
    </w:p>
    <w:p w:rsidR="00E05B15" w:rsidRPr="00E05B15" w:rsidRDefault="00E05B15" w:rsidP="00E05B15">
      <w:pPr>
        <w:numPr>
          <w:ilvl w:val="0"/>
          <w:numId w:val="1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Approved in India. </w:t>
      </w:r>
    </w:p>
    <w:p w:rsidR="00E05B15" w:rsidRPr="00E05B15" w:rsidRDefault="00E05B15" w:rsidP="00E05B15">
      <w:pPr>
        <w:numPr>
          <w:ilvl w:val="0"/>
          <w:numId w:val="1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Launched through the listed company. </w:t>
      </w:r>
    </w:p>
    <w:p w:rsidR="00E05B15" w:rsidRPr="00E05B15" w:rsidRDefault="00E05B15" w:rsidP="00E05B15">
      <w:pPr>
        <w:numPr>
          <w:ilvl w:val="0"/>
          <w:numId w:val="1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Affordable enough to generate material Indian sales.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Global pipeline slides should therefore never be inserted directly into the Indian revenue model.</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3. Price control affects the core franchise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Management says approximately 44% to 45% of General Medicines is subject to government price control.</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This limits pricing freedom and can create abrupt reductions when products are added to NLEM or when ceiling prices change. Volume growth, mix and productivity must compensate.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 June 2026, the NPPA issued a ₹3.54 crore demand alleging historical overcharging of scheduled formulations. GSK plans to appeal and stated that the demand does not affect operations. The amount is financially immaterial, although it highlights continuing regulatory exposure. </w:t>
      </w:r>
      <w:hyperlink r:id="rId15" w:tgtFrame="_new" w:history="1">
        <w:r w:rsidRPr="00E05B15">
          <w:rPr>
            <w:rFonts w:ascii="Times New Roman" w:eastAsia="Times New Roman" w:hAnsi="Times New Roman" w:cs="Times New Roman"/>
            <w:color w:val="0000FF"/>
            <w:kern w:val="0"/>
            <w:u w:val="single"/>
            <w14:ligatures w14:val="none"/>
          </w:rPr>
          <w:t>NPPA disclosure</w:t>
        </w:r>
      </w:hyperlink>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4. Supply-chain concentration has already affected revenue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 fire at a contract-manufacturing partner disrupted important product supplies in FY26. This constrained General Medicines growth and created the favourable base in Q1 FY27.</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is adding alternative manufacturers and logistics providers, but CMO availability remains a key quarterly variable.</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5. Imported innovation may have different economics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Most General Medicines are locally manufactured. Vaccines, biologics and oncology products are more import-dependent.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As innovation becomes a larger proportion of sales:</w:t>
      </w:r>
    </w:p>
    <w:p w:rsidR="00E05B15" w:rsidRPr="00E05B15" w:rsidRDefault="00E05B15" w:rsidP="00E05B15">
      <w:pPr>
        <w:numPr>
          <w:ilvl w:val="0"/>
          <w:numId w:val="2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Gross product margins may differ from legacy local brands. </w:t>
      </w:r>
    </w:p>
    <w:p w:rsidR="00E05B15" w:rsidRPr="00E05B15" w:rsidRDefault="00E05B15" w:rsidP="00E05B15">
      <w:pPr>
        <w:numPr>
          <w:ilvl w:val="0"/>
          <w:numId w:val="2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Currency depreciation can raise purchase costs. </w:t>
      </w:r>
    </w:p>
    <w:p w:rsidR="00E05B15" w:rsidRPr="00E05B15" w:rsidRDefault="00E05B15" w:rsidP="00E05B15">
      <w:pPr>
        <w:numPr>
          <w:ilvl w:val="0"/>
          <w:numId w:val="2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Transfer-pricing and related-party economics become more important. </w:t>
      </w:r>
    </w:p>
    <w:p w:rsidR="00E05B15" w:rsidRPr="00E05B15" w:rsidRDefault="00E05B15" w:rsidP="00E05B15">
      <w:pPr>
        <w:numPr>
          <w:ilvl w:val="0"/>
          <w:numId w:val="20"/>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Commercial and medical investment rises before product sales mature.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Q1 FY27 already showed imported cost pressure from rupee depreciation and a one-percentage-point increase in investment-to-sales.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6. Adult vaccines require category creation</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India has a large eligible adult population but a small established adult-vaccination habit.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Shingrix growth is encouraging. Arexvy cannot simply be modelled by applying Shingrix’s curve because:</w:t>
      </w:r>
    </w:p>
    <w:p w:rsidR="00E05B15" w:rsidRPr="00E05B15" w:rsidRDefault="00E05B15" w:rsidP="00E05B15">
      <w:pPr>
        <w:numPr>
          <w:ilvl w:val="0"/>
          <w:numId w:val="2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Disease awareness differs. </w:t>
      </w:r>
    </w:p>
    <w:p w:rsidR="00E05B15" w:rsidRPr="00E05B15" w:rsidRDefault="00E05B15" w:rsidP="00E05B15">
      <w:pPr>
        <w:numPr>
          <w:ilvl w:val="0"/>
          <w:numId w:val="2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Recommended populations differ. </w:t>
      </w:r>
    </w:p>
    <w:p w:rsidR="00E05B15" w:rsidRPr="00E05B15" w:rsidRDefault="00E05B15" w:rsidP="00E05B15">
      <w:pPr>
        <w:numPr>
          <w:ilvl w:val="0"/>
          <w:numId w:val="2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Dose schedules differ. </w:t>
      </w:r>
    </w:p>
    <w:p w:rsidR="00E05B15" w:rsidRPr="00E05B15" w:rsidRDefault="00E05B15" w:rsidP="00E05B15">
      <w:pPr>
        <w:numPr>
          <w:ilvl w:val="0"/>
          <w:numId w:val="2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Price and physician specialities may differ. </w:t>
      </w:r>
    </w:p>
    <w:p w:rsidR="00E05B15" w:rsidRPr="00E05B15" w:rsidRDefault="00E05B15" w:rsidP="00E05B15">
      <w:pPr>
        <w:numPr>
          <w:ilvl w:val="0"/>
          <w:numId w:val="21"/>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Patients have limited preventive-health budgets. </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7. Oncology access may constrain the theoretical patient pool</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Patient incidence is not equivalent to a treated addressable market.</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funnel must include:</w:t>
      </w:r>
    </w:p>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Incidence×diagnosis×biomarker eligibility×treatment-line eligibility×ability to pay×GSK share\text{Incidence} \times \text{diagnosis} \times \text{biomarker eligibility} \times \text{treatment-line eligibility} \times \text{ability to pay} \times \text{GSK share}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Hospital onboarding, diagnostic testing, government access, patient-support programmes and treatment monitoring will determine real sales.</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8. Brand-level disclosure is weak</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does not publish audited brand revenue.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IQVIA numbers are usually secondary-market sales. Company revenue is net of:</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GST </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Trade margins </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Discounts and schemes </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Returns </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Inventory timing </w:t>
      </w:r>
    </w:p>
    <w:p w:rsidR="00E05B15" w:rsidRPr="00E05B15" w:rsidRDefault="00E05B15" w:rsidP="00E05B15">
      <w:pPr>
        <w:numPr>
          <w:ilvl w:val="0"/>
          <w:numId w:val="22"/>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Distributor stocking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Any product-wise historical revenue in an analyst model is therefore an allocation estimate. It should be calibrated to total reported revenue rather than presented as company-disclosed data.</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9. Capital allocation favours dividends</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FY26 final dividend of ₹57 per share equals approximately ₹966 crore, close to annual earnings. At the current share price, dividend yield is approximately 2%.</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This is attractive for cash return but raises an investor question: how much cash will be reinvested locally in access, manufacturing and specialty launches versus distributed to shareholders, including the 75% promoter holding?</w:t>
      </w:r>
    </w:p>
    <w:p w:rsidR="00E05B15" w:rsidRPr="00E05B15" w:rsidRDefault="00E05B15" w:rsidP="00E05B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05B15">
        <w:rPr>
          <w:rFonts w:ascii="Times New Roman" w:eastAsia="Times New Roman" w:hAnsi="Times New Roman" w:cs="Times New Roman"/>
          <w:b/>
          <w:bCs/>
          <w:kern w:val="0"/>
          <w:sz w:val="27"/>
          <w:szCs w:val="27"/>
          <w14:ligatures w14:val="none"/>
        </w:rPr>
        <w:t>10. Valuation leaves limited room for ordinary execution</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At a share price around ₹2,830, GSK India has approximately:</w:t>
      </w:r>
    </w:p>
    <w:p w:rsidR="00E05B15" w:rsidRPr="00E05B15" w:rsidRDefault="00E05B15" w:rsidP="00E05B15">
      <w:pPr>
        <w:numPr>
          <w:ilvl w:val="0"/>
          <w:numId w:val="2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Market capitalisation of ₹48,000 crore. </w:t>
      </w:r>
    </w:p>
    <w:p w:rsidR="00E05B15" w:rsidRPr="00E05B15" w:rsidRDefault="00E05B15" w:rsidP="00E05B15">
      <w:pPr>
        <w:numPr>
          <w:ilvl w:val="0"/>
          <w:numId w:val="2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Trailing P/E around 45 times. </w:t>
      </w:r>
    </w:p>
    <w:p w:rsidR="00E05B15" w:rsidRPr="00E05B15" w:rsidRDefault="00E05B15" w:rsidP="00E05B15">
      <w:pPr>
        <w:numPr>
          <w:ilvl w:val="0"/>
          <w:numId w:val="2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Dividend yield around 2%. </w:t>
      </w:r>
    </w:p>
    <w:p w:rsidR="00E05B15" w:rsidRPr="00E05B15" w:rsidRDefault="00E05B15" w:rsidP="00E05B15">
      <w:pPr>
        <w:numPr>
          <w:ilvl w:val="0"/>
          <w:numId w:val="23"/>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 52-week trading range of approximately ₹2,088 to ₹3,121.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hyperlink r:id="rId16" w:tgtFrame="_new" w:history="1">
        <w:r w:rsidRPr="00E05B15">
          <w:rPr>
            <w:rFonts w:ascii="Times New Roman" w:eastAsia="Times New Roman" w:hAnsi="Times New Roman" w:cs="Times New Roman"/>
            <w:color w:val="0000FF"/>
            <w:kern w:val="0"/>
            <w:u w:val="single"/>
            <w14:ligatures w14:val="none"/>
          </w:rPr>
          <w:t>Current market snapshot</w:t>
        </w:r>
      </w:hyperlink>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At this valuation, preservation of the General Medicines franchise alone is insufficient. The market needs sustained double-digit earnings growth, continued margins above 30% and visible specialty scale-up.</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10. Recent news that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3717"/>
        <w:gridCol w:w="3759"/>
      </w:tblGrid>
      <w:tr w:rsidR="00E05B15" w:rsidRPr="00E05B15" w:rsidTr="00E05B15">
        <w:trPr>
          <w:tblHeader/>
          <w:tblCellSpacing w:w="15" w:type="dxa"/>
        </w:trPr>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Date</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Development</w:t>
            </w:r>
          </w:p>
        </w:tc>
        <w:tc>
          <w:tcPr>
            <w:tcW w:w="0" w:type="auto"/>
            <w:vAlign w:val="center"/>
            <w:hideMark/>
          </w:tcPr>
          <w:p w:rsidR="00E05B15" w:rsidRPr="00E05B15" w:rsidRDefault="00E05B15" w:rsidP="00E05B15">
            <w:pPr>
              <w:jc w:val="center"/>
              <w:rPr>
                <w:rFonts w:ascii="Times New Roman" w:eastAsia="Times New Roman" w:hAnsi="Times New Roman" w:cs="Times New Roman"/>
                <w:b/>
                <w:bCs/>
                <w:kern w:val="0"/>
                <w14:ligatures w14:val="none"/>
              </w:rPr>
            </w:pPr>
            <w:r w:rsidRPr="00E05B15">
              <w:rPr>
                <w:rFonts w:ascii="Times New Roman" w:eastAsia="Times New Roman" w:hAnsi="Times New Roman" w:cs="Times New Roman"/>
                <w:b/>
                <w:bCs/>
                <w:kern w:val="0"/>
                <w14:ligatures w14:val="none"/>
              </w:rPr>
              <w:t>Investment relevance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24 Aug 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Hibsago received its first global approval in Japan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Reduces global regulatory risk for bepirovirsen; India approval still required</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3 Aug 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Q1 FY27 revenue grew 15%, EBITDA 17% and PAT 24%</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Strong reported quarter, although underlying normalised growth was 9% to 10%</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Jul 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Camlipixant chronic-cough development discontinued</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Removes a previously visible respiratory-pipeline opportunity</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Jun 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Blenrep received Indian approval</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Creates a near-term haematology launch</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Jun 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NPPA issued ₹3.54 crore demand</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Financially immaterial; reinforces price-regulation exposure</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2026</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Arexvy received Indian marketing authorisation</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Establishes the next adult-vaccine launch after Shingrix</w:t>
            </w:r>
          </w:p>
        </w:tc>
      </w:tr>
      <w:tr w:rsidR="00E05B15" w:rsidRPr="00E05B15" w:rsidTr="00E05B15">
        <w:trPr>
          <w:tblCellSpacing w:w="15" w:type="dxa"/>
        </w:trPr>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Recent management interview</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FY30 revenue ambition of ₹8,000 crore and oncology ambition of ₹750-1,000 crore</w:t>
            </w:r>
          </w:p>
        </w:tc>
        <w:tc>
          <w:tcPr>
            <w:tcW w:w="0" w:type="auto"/>
            <w:vAlign w:val="center"/>
            <w:hideMark/>
          </w:tcPr>
          <w:p w:rsidR="00E05B15" w:rsidRPr="00E05B15" w:rsidRDefault="00E05B15" w:rsidP="00E05B15">
            <w:pPr>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Raises expectations materially above the current model and reported growth trajectory</w:t>
            </w:r>
          </w:p>
        </w:tc>
      </w:tr>
    </w:tbl>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11. KPIs you should track every quarter</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General Medicines:</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 xml:space="preserve">Augmentin, Calpol, Ceftum and T-Bact value growth and evolution index </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Volume growth versus price growth </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Supply availability and CMO fill rates </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Percentage of portfolio under price control </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Represented-market share </w:t>
      </w:r>
    </w:p>
    <w:p w:rsidR="00E05B15" w:rsidRPr="00E05B15" w:rsidRDefault="00E05B15" w:rsidP="00E05B15">
      <w:pPr>
        <w:numPr>
          <w:ilvl w:val="0"/>
          <w:numId w:val="24"/>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Acute-market seasonality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vaccines:</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Shingrix quarterly doses </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Second-dose completion </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Number of Shingrix prescribers </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Paediatric vaccine value and unit share </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Vaccine shipment phasing </w:t>
      </w:r>
    </w:p>
    <w:p w:rsidR="00E05B15" w:rsidRPr="00E05B15" w:rsidRDefault="00E05B15" w:rsidP="00E05B15">
      <w:pPr>
        <w:numPr>
          <w:ilvl w:val="0"/>
          <w:numId w:val="25"/>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Arexvy launch price, prescriber coverage and initial doses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respiratory:</w:t>
      </w:r>
    </w:p>
    <w:p w:rsidR="00E05B15" w:rsidRPr="00E05B15" w:rsidRDefault="00E05B15" w:rsidP="00E05B15">
      <w:pPr>
        <w:numPr>
          <w:ilvl w:val="0"/>
          <w:numId w:val="2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Nucala monthly patient additions </w:t>
      </w:r>
    </w:p>
    <w:p w:rsidR="00E05B15" w:rsidRPr="00E05B15" w:rsidRDefault="00E05B15" w:rsidP="00E05B15">
      <w:pPr>
        <w:numPr>
          <w:ilvl w:val="0"/>
          <w:numId w:val="2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Nucala active-patient persistence </w:t>
      </w:r>
    </w:p>
    <w:p w:rsidR="00E05B15" w:rsidRPr="00E05B15" w:rsidRDefault="00E05B15" w:rsidP="00E05B15">
      <w:pPr>
        <w:numPr>
          <w:ilvl w:val="0"/>
          <w:numId w:val="2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Trelegy monthly units </w:t>
      </w:r>
    </w:p>
    <w:p w:rsidR="00E05B15" w:rsidRPr="00E05B15" w:rsidRDefault="00E05B15" w:rsidP="00E05B15">
      <w:pPr>
        <w:numPr>
          <w:ilvl w:val="0"/>
          <w:numId w:val="2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Trelegy share and price after generic entry </w:t>
      </w:r>
    </w:p>
    <w:p w:rsidR="00E05B15" w:rsidRPr="00E05B15" w:rsidRDefault="00E05B15" w:rsidP="00E05B15">
      <w:pPr>
        <w:numPr>
          <w:ilvl w:val="0"/>
          <w:numId w:val="26"/>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Severe-asthma biologic penetration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oncology:</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Jemperli and Zejula patients initiated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Monthly oncology revenue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Government and institutional access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Blenrep launch date and hospitals activated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Ophthalmology-monitoring infrastructure for Blenrep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Jemperli indication expansions </w:t>
      </w:r>
    </w:p>
    <w:p w:rsidR="00E05B15" w:rsidRPr="00E05B15" w:rsidRDefault="00E05B15" w:rsidP="00E05B15">
      <w:pPr>
        <w:numPr>
          <w:ilvl w:val="0"/>
          <w:numId w:val="27"/>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Oncology sales-force productivity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the pipeline:</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India trial status versus global trial status </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Pivotal readouts </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CDSCO filings and approvals </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Confirmation that the listed company receives commercial rights </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Indian net price and patient-access programmes </w:t>
      </w:r>
    </w:p>
    <w:p w:rsidR="00E05B15" w:rsidRPr="00E05B15" w:rsidRDefault="00E05B15" w:rsidP="00E05B15">
      <w:pPr>
        <w:numPr>
          <w:ilvl w:val="0"/>
          <w:numId w:val="28"/>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Launch inventory and hospital onboarding </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For financials:</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Sustainable revenue growth excluding supply-base effects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lastRenderedPageBreak/>
        <w:t xml:space="preserve">Gross margin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Imported purchase costs and currency effects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Launch SG&amp;A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EBITDA margin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Cash conversion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Dividend payout </w:t>
      </w:r>
    </w:p>
    <w:p w:rsidR="00E05B15" w:rsidRPr="00E05B15" w:rsidRDefault="00E05B15" w:rsidP="00E05B15">
      <w:pPr>
        <w:numPr>
          <w:ilvl w:val="0"/>
          <w:numId w:val="29"/>
        </w:num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 xml:space="preserve">Standalone-to-consolidated reconciliation </w:t>
      </w:r>
    </w:p>
    <w:p w:rsidR="00E05B15" w:rsidRPr="00E05B15" w:rsidRDefault="00E05B15" w:rsidP="00E05B1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05B15">
        <w:rPr>
          <w:rFonts w:ascii="Times New Roman" w:eastAsia="Times New Roman" w:hAnsi="Times New Roman" w:cs="Times New Roman"/>
          <w:b/>
          <w:bCs/>
          <w:kern w:val="0"/>
          <w:sz w:val="36"/>
          <w:szCs w:val="36"/>
          <w14:ligatures w14:val="none"/>
        </w:rPr>
        <w:t>The manager-ready summary</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GSK India is a ₹3,800 crore, 75%-promoter-owned Indian pharmaceutical company with a dominant General Medicines franchise, leadership in private vaccines and EBITDA margins above 30%. Augmentin, Calpol, Ceftum, Eltroxin and the dermatology portfolio form the current earnings base. Paediatric vaccines contribute roughly one-fifth of revenue.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Its second growth engine is now emerging. Shingrix has crossed ₹100 crore of annualised sales, Nucala is adding around 100 to 120 patients monthly, Trelegy retains meaningful share after generic entry, and the new oncology business is running near ₹10 crore per month. Blenrep and Arexvy are the immediate launches; bepirovirsen and Ojjaara are the important next wave.</w:t>
      </w:r>
    </w:p>
    <w:p w:rsidR="00E05B15" w:rsidRPr="00E05B15" w:rsidRDefault="00E05B15" w:rsidP="00E05B15">
      <w:pPr>
        <w:spacing w:before="100" w:beforeAutospacing="1" w:after="100" w:afterAutospacing="1"/>
        <w:rPr>
          <w:rFonts w:ascii="Times New Roman" w:eastAsia="Times New Roman" w:hAnsi="Times New Roman" w:cs="Times New Roman"/>
          <w:kern w:val="0"/>
          <w14:ligatures w14:val="none"/>
        </w:rPr>
      </w:pPr>
      <w:r w:rsidRPr="00E05B15">
        <w:rPr>
          <w:rFonts w:ascii="Times New Roman" w:eastAsia="Times New Roman" w:hAnsi="Times New Roman" w:cs="Times New Roman"/>
          <w:kern w:val="0"/>
          <w14:ligatures w14:val="none"/>
        </w:rPr>
        <w:t>The core stock debate is the gap between management’s ₹8,000 crore FY30 ambition, which requires about 21% annual growth, and current sustainable growth closer to 9% to 10%. At roughly 45 times earnings, the company must demonstrate that specialty products can become material while protecting the legacy brands, managing price control and sustaining its margin structure.</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63C0"/>
    <w:multiLevelType w:val="multilevel"/>
    <w:tmpl w:val="192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187"/>
    <w:multiLevelType w:val="multilevel"/>
    <w:tmpl w:val="35E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3FE3"/>
    <w:multiLevelType w:val="multilevel"/>
    <w:tmpl w:val="30E4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B210B"/>
    <w:multiLevelType w:val="multilevel"/>
    <w:tmpl w:val="B23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1F5F"/>
    <w:multiLevelType w:val="multilevel"/>
    <w:tmpl w:val="5D0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0C4B"/>
    <w:multiLevelType w:val="multilevel"/>
    <w:tmpl w:val="928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35234"/>
    <w:multiLevelType w:val="multilevel"/>
    <w:tmpl w:val="AF3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D333F"/>
    <w:multiLevelType w:val="multilevel"/>
    <w:tmpl w:val="81B8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96AB1"/>
    <w:multiLevelType w:val="multilevel"/>
    <w:tmpl w:val="BA7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5E33"/>
    <w:multiLevelType w:val="multilevel"/>
    <w:tmpl w:val="065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540AB"/>
    <w:multiLevelType w:val="multilevel"/>
    <w:tmpl w:val="355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F5492"/>
    <w:multiLevelType w:val="multilevel"/>
    <w:tmpl w:val="36D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D4885"/>
    <w:multiLevelType w:val="multilevel"/>
    <w:tmpl w:val="A63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A1A94"/>
    <w:multiLevelType w:val="multilevel"/>
    <w:tmpl w:val="B86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57F7B"/>
    <w:multiLevelType w:val="multilevel"/>
    <w:tmpl w:val="E48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32764"/>
    <w:multiLevelType w:val="multilevel"/>
    <w:tmpl w:val="9D0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F4111"/>
    <w:multiLevelType w:val="multilevel"/>
    <w:tmpl w:val="B53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E5CD9"/>
    <w:multiLevelType w:val="multilevel"/>
    <w:tmpl w:val="698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C7415"/>
    <w:multiLevelType w:val="multilevel"/>
    <w:tmpl w:val="297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255E0"/>
    <w:multiLevelType w:val="multilevel"/>
    <w:tmpl w:val="8F8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A31F5"/>
    <w:multiLevelType w:val="multilevel"/>
    <w:tmpl w:val="6B5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860C8"/>
    <w:multiLevelType w:val="multilevel"/>
    <w:tmpl w:val="45C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C17F9"/>
    <w:multiLevelType w:val="multilevel"/>
    <w:tmpl w:val="B2C0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84C69"/>
    <w:multiLevelType w:val="multilevel"/>
    <w:tmpl w:val="258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C36A4"/>
    <w:multiLevelType w:val="multilevel"/>
    <w:tmpl w:val="014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77671"/>
    <w:multiLevelType w:val="multilevel"/>
    <w:tmpl w:val="4D8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A63FB"/>
    <w:multiLevelType w:val="multilevel"/>
    <w:tmpl w:val="C67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E4A0F"/>
    <w:multiLevelType w:val="multilevel"/>
    <w:tmpl w:val="A67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D6FA3"/>
    <w:multiLevelType w:val="multilevel"/>
    <w:tmpl w:val="105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886370">
    <w:abstractNumId w:val="15"/>
  </w:num>
  <w:num w:numId="2" w16cid:durableId="2129200320">
    <w:abstractNumId w:val="22"/>
  </w:num>
  <w:num w:numId="3" w16cid:durableId="1160388368">
    <w:abstractNumId w:val="13"/>
  </w:num>
  <w:num w:numId="4" w16cid:durableId="2085756061">
    <w:abstractNumId w:val="24"/>
  </w:num>
  <w:num w:numId="5" w16cid:durableId="1659730355">
    <w:abstractNumId w:val="4"/>
  </w:num>
  <w:num w:numId="6" w16cid:durableId="1489007721">
    <w:abstractNumId w:val="9"/>
  </w:num>
  <w:num w:numId="7" w16cid:durableId="912591903">
    <w:abstractNumId w:val="8"/>
  </w:num>
  <w:num w:numId="8" w16cid:durableId="1079450877">
    <w:abstractNumId w:val="12"/>
  </w:num>
  <w:num w:numId="9" w16cid:durableId="883639167">
    <w:abstractNumId w:val="19"/>
  </w:num>
  <w:num w:numId="10" w16cid:durableId="484053940">
    <w:abstractNumId w:val="6"/>
  </w:num>
  <w:num w:numId="11" w16cid:durableId="2039038659">
    <w:abstractNumId w:val="7"/>
  </w:num>
  <w:num w:numId="12" w16cid:durableId="1264072245">
    <w:abstractNumId w:val="25"/>
  </w:num>
  <w:num w:numId="13" w16cid:durableId="492912169">
    <w:abstractNumId w:val="21"/>
  </w:num>
  <w:num w:numId="14" w16cid:durableId="2093314503">
    <w:abstractNumId w:val="26"/>
  </w:num>
  <w:num w:numId="15" w16cid:durableId="115372104">
    <w:abstractNumId w:val="11"/>
  </w:num>
  <w:num w:numId="16" w16cid:durableId="2120951215">
    <w:abstractNumId w:val="18"/>
  </w:num>
  <w:num w:numId="17" w16cid:durableId="1755397269">
    <w:abstractNumId w:val="14"/>
  </w:num>
  <w:num w:numId="18" w16cid:durableId="1512522300">
    <w:abstractNumId w:val="23"/>
  </w:num>
  <w:num w:numId="19" w16cid:durableId="1830250966">
    <w:abstractNumId w:val="10"/>
  </w:num>
  <w:num w:numId="20" w16cid:durableId="261646216">
    <w:abstractNumId w:val="1"/>
  </w:num>
  <w:num w:numId="21" w16cid:durableId="519778847">
    <w:abstractNumId w:val="5"/>
  </w:num>
  <w:num w:numId="22" w16cid:durableId="2065523358">
    <w:abstractNumId w:val="27"/>
  </w:num>
  <w:num w:numId="23" w16cid:durableId="1548830782">
    <w:abstractNumId w:val="3"/>
  </w:num>
  <w:num w:numId="24" w16cid:durableId="515969642">
    <w:abstractNumId w:val="16"/>
  </w:num>
  <w:num w:numId="25" w16cid:durableId="1930961390">
    <w:abstractNumId w:val="2"/>
  </w:num>
  <w:num w:numId="26" w16cid:durableId="1046181158">
    <w:abstractNumId w:val="20"/>
  </w:num>
  <w:num w:numId="27" w16cid:durableId="267812775">
    <w:abstractNumId w:val="0"/>
  </w:num>
  <w:num w:numId="28" w16cid:durableId="1400519885">
    <w:abstractNumId w:val="28"/>
  </w:num>
  <w:num w:numId="29" w16cid:durableId="5082537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B15"/>
    <w:rsid w:val="007B788F"/>
    <w:rsid w:val="0098646A"/>
    <w:rsid w:val="00E05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C2A5186-7984-7D4D-BE85-6CAF929B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5B1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05B1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05B1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B1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05B1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05B1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05B15"/>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05B1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05B15"/>
    <w:rPr>
      <w:color w:val="0000FF"/>
      <w:u w:val="single"/>
    </w:rPr>
  </w:style>
  <w:style w:type="character" w:styleId="Strong">
    <w:name w:val="Strong"/>
    <w:basedOn w:val="DefaultParagraphFont"/>
    <w:uiPriority w:val="22"/>
    <w:qFormat/>
    <w:rsid w:val="00E05B15"/>
    <w:rPr>
      <w:b/>
      <w:bCs/>
    </w:rPr>
  </w:style>
  <w:style w:type="character" w:customStyle="1" w:styleId="katex">
    <w:name w:val="katex"/>
    <w:basedOn w:val="DefaultParagraphFont"/>
    <w:rsid w:val="00E05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31044">
      <w:bodyDiv w:val="1"/>
      <w:marLeft w:val="0"/>
      <w:marRight w:val="0"/>
      <w:marTop w:val="0"/>
      <w:marBottom w:val="0"/>
      <w:divBdr>
        <w:top w:val="none" w:sz="0" w:space="0" w:color="auto"/>
        <w:left w:val="none" w:sz="0" w:space="0" w:color="auto"/>
        <w:bottom w:val="none" w:sz="0" w:space="0" w:color="auto"/>
        <w:right w:val="none" w:sz="0" w:space="0" w:color="auto"/>
      </w:divBdr>
      <w:divsChild>
        <w:div w:id="28299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1734991">
          <w:marLeft w:val="0"/>
          <w:marRight w:val="0"/>
          <w:marTop w:val="0"/>
          <w:marBottom w:val="0"/>
          <w:divBdr>
            <w:top w:val="none" w:sz="0" w:space="0" w:color="auto"/>
            <w:left w:val="none" w:sz="0" w:space="0" w:color="auto"/>
            <w:bottom w:val="none" w:sz="0" w:space="0" w:color="auto"/>
            <w:right w:val="none" w:sz="0" w:space="0" w:color="auto"/>
          </w:divBdr>
          <w:divsChild>
            <w:div w:id="2083596908">
              <w:marLeft w:val="0"/>
              <w:marRight w:val="0"/>
              <w:marTop w:val="0"/>
              <w:marBottom w:val="0"/>
              <w:divBdr>
                <w:top w:val="none" w:sz="0" w:space="0" w:color="auto"/>
                <w:left w:val="none" w:sz="0" w:space="0" w:color="auto"/>
                <w:bottom w:val="none" w:sz="0" w:space="0" w:color="auto"/>
                <w:right w:val="none" w:sz="0" w:space="0" w:color="auto"/>
              </w:divBdr>
            </w:div>
          </w:divsChild>
        </w:div>
        <w:div w:id="248587008">
          <w:marLeft w:val="0"/>
          <w:marRight w:val="0"/>
          <w:marTop w:val="0"/>
          <w:marBottom w:val="0"/>
          <w:divBdr>
            <w:top w:val="none" w:sz="0" w:space="0" w:color="auto"/>
            <w:left w:val="none" w:sz="0" w:space="0" w:color="auto"/>
            <w:bottom w:val="none" w:sz="0" w:space="0" w:color="auto"/>
            <w:right w:val="none" w:sz="0" w:space="0" w:color="auto"/>
          </w:divBdr>
          <w:divsChild>
            <w:div w:id="176501664">
              <w:marLeft w:val="0"/>
              <w:marRight w:val="0"/>
              <w:marTop w:val="0"/>
              <w:marBottom w:val="0"/>
              <w:divBdr>
                <w:top w:val="none" w:sz="0" w:space="0" w:color="auto"/>
                <w:left w:val="none" w:sz="0" w:space="0" w:color="auto"/>
                <w:bottom w:val="none" w:sz="0" w:space="0" w:color="auto"/>
                <w:right w:val="none" w:sz="0" w:space="0" w:color="auto"/>
              </w:divBdr>
            </w:div>
          </w:divsChild>
        </w:div>
        <w:div w:id="1941795887">
          <w:marLeft w:val="0"/>
          <w:marRight w:val="0"/>
          <w:marTop w:val="0"/>
          <w:marBottom w:val="0"/>
          <w:divBdr>
            <w:top w:val="none" w:sz="0" w:space="0" w:color="auto"/>
            <w:left w:val="none" w:sz="0" w:space="0" w:color="auto"/>
            <w:bottom w:val="none" w:sz="0" w:space="0" w:color="auto"/>
            <w:right w:val="none" w:sz="0" w:space="0" w:color="auto"/>
          </w:divBdr>
          <w:divsChild>
            <w:div w:id="1813479362">
              <w:marLeft w:val="0"/>
              <w:marRight w:val="0"/>
              <w:marTop w:val="0"/>
              <w:marBottom w:val="0"/>
              <w:divBdr>
                <w:top w:val="none" w:sz="0" w:space="0" w:color="auto"/>
                <w:left w:val="none" w:sz="0" w:space="0" w:color="auto"/>
                <w:bottom w:val="none" w:sz="0" w:space="0" w:color="auto"/>
                <w:right w:val="none" w:sz="0" w:space="0" w:color="auto"/>
              </w:divBdr>
            </w:div>
          </w:divsChild>
        </w:div>
        <w:div w:id="722827730">
          <w:marLeft w:val="0"/>
          <w:marRight w:val="0"/>
          <w:marTop w:val="0"/>
          <w:marBottom w:val="0"/>
          <w:divBdr>
            <w:top w:val="none" w:sz="0" w:space="0" w:color="auto"/>
            <w:left w:val="none" w:sz="0" w:space="0" w:color="auto"/>
            <w:bottom w:val="none" w:sz="0" w:space="0" w:color="auto"/>
            <w:right w:val="none" w:sz="0" w:space="0" w:color="auto"/>
          </w:divBdr>
          <w:divsChild>
            <w:div w:id="1105347363">
              <w:marLeft w:val="0"/>
              <w:marRight w:val="0"/>
              <w:marTop w:val="0"/>
              <w:marBottom w:val="0"/>
              <w:divBdr>
                <w:top w:val="none" w:sz="0" w:space="0" w:color="auto"/>
                <w:left w:val="none" w:sz="0" w:space="0" w:color="auto"/>
                <w:bottom w:val="none" w:sz="0" w:space="0" w:color="auto"/>
                <w:right w:val="none" w:sz="0" w:space="0" w:color="auto"/>
              </w:divBdr>
            </w:div>
          </w:divsChild>
        </w:div>
        <w:div w:id="2080711056">
          <w:marLeft w:val="0"/>
          <w:marRight w:val="0"/>
          <w:marTop w:val="0"/>
          <w:marBottom w:val="0"/>
          <w:divBdr>
            <w:top w:val="none" w:sz="0" w:space="0" w:color="auto"/>
            <w:left w:val="none" w:sz="0" w:space="0" w:color="auto"/>
            <w:bottom w:val="none" w:sz="0" w:space="0" w:color="auto"/>
            <w:right w:val="none" w:sz="0" w:space="0" w:color="auto"/>
          </w:divBdr>
          <w:divsChild>
            <w:div w:id="582179462">
              <w:marLeft w:val="0"/>
              <w:marRight w:val="0"/>
              <w:marTop w:val="0"/>
              <w:marBottom w:val="0"/>
              <w:divBdr>
                <w:top w:val="none" w:sz="0" w:space="0" w:color="auto"/>
                <w:left w:val="none" w:sz="0" w:space="0" w:color="auto"/>
                <w:bottom w:val="none" w:sz="0" w:space="0" w:color="auto"/>
                <w:right w:val="none" w:sz="0" w:space="0" w:color="auto"/>
              </w:divBdr>
            </w:div>
          </w:divsChild>
        </w:div>
        <w:div w:id="618338184">
          <w:marLeft w:val="0"/>
          <w:marRight w:val="0"/>
          <w:marTop w:val="0"/>
          <w:marBottom w:val="0"/>
          <w:divBdr>
            <w:top w:val="none" w:sz="0" w:space="0" w:color="auto"/>
            <w:left w:val="none" w:sz="0" w:space="0" w:color="auto"/>
            <w:bottom w:val="none" w:sz="0" w:space="0" w:color="auto"/>
            <w:right w:val="none" w:sz="0" w:space="0" w:color="auto"/>
          </w:divBdr>
          <w:divsChild>
            <w:div w:id="1682853711">
              <w:marLeft w:val="0"/>
              <w:marRight w:val="0"/>
              <w:marTop w:val="0"/>
              <w:marBottom w:val="0"/>
              <w:divBdr>
                <w:top w:val="none" w:sz="0" w:space="0" w:color="auto"/>
                <w:left w:val="none" w:sz="0" w:space="0" w:color="auto"/>
                <w:bottom w:val="none" w:sz="0" w:space="0" w:color="auto"/>
                <w:right w:val="none" w:sz="0" w:space="0" w:color="auto"/>
              </w:divBdr>
            </w:div>
          </w:divsChild>
        </w:div>
        <w:div w:id="1044909519">
          <w:marLeft w:val="0"/>
          <w:marRight w:val="0"/>
          <w:marTop w:val="0"/>
          <w:marBottom w:val="0"/>
          <w:divBdr>
            <w:top w:val="none" w:sz="0" w:space="0" w:color="auto"/>
            <w:left w:val="none" w:sz="0" w:space="0" w:color="auto"/>
            <w:bottom w:val="none" w:sz="0" w:space="0" w:color="auto"/>
            <w:right w:val="none" w:sz="0" w:space="0" w:color="auto"/>
          </w:divBdr>
          <w:divsChild>
            <w:div w:id="1183394050">
              <w:marLeft w:val="0"/>
              <w:marRight w:val="0"/>
              <w:marTop w:val="0"/>
              <w:marBottom w:val="0"/>
              <w:divBdr>
                <w:top w:val="none" w:sz="0" w:space="0" w:color="auto"/>
                <w:left w:val="none" w:sz="0" w:space="0" w:color="auto"/>
                <w:bottom w:val="none" w:sz="0" w:space="0" w:color="auto"/>
                <w:right w:val="none" w:sz="0" w:space="0" w:color="auto"/>
              </w:divBdr>
            </w:div>
          </w:divsChild>
        </w:div>
        <w:div w:id="14020204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7130567">
          <w:marLeft w:val="0"/>
          <w:marRight w:val="0"/>
          <w:marTop w:val="0"/>
          <w:marBottom w:val="0"/>
          <w:divBdr>
            <w:top w:val="none" w:sz="0" w:space="0" w:color="auto"/>
            <w:left w:val="none" w:sz="0" w:space="0" w:color="auto"/>
            <w:bottom w:val="none" w:sz="0" w:space="0" w:color="auto"/>
            <w:right w:val="none" w:sz="0" w:space="0" w:color="auto"/>
          </w:divBdr>
          <w:divsChild>
            <w:div w:id="1928268675">
              <w:marLeft w:val="0"/>
              <w:marRight w:val="0"/>
              <w:marTop w:val="0"/>
              <w:marBottom w:val="0"/>
              <w:divBdr>
                <w:top w:val="none" w:sz="0" w:space="0" w:color="auto"/>
                <w:left w:val="none" w:sz="0" w:space="0" w:color="auto"/>
                <w:bottom w:val="none" w:sz="0" w:space="0" w:color="auto"/>
                <w:right w:val="none" w:sz="0" w:space="0" w:color="auto"/>
              </w:divBdr>
            </w:div>
          </w:divsChild>
        </w:div>
        <w:div w:id="652442409">
          <w:marLeft w:val="0"/>
          <w:marRight w:val="0"/>
          <w:marTop w:val="0"/>
          <w:marBottom w:val="0"/>
          <w:divBdr>
            <w:top w:val="none" w:sz="0" w:space="0" w:color="auto"/>
            <w:left w:val="none" w:sz="0" w:space="0" w:color="auto"/>
            <w:bottom w:val="none" w:sz="0" w:space="0" w:color="auto"/>
            <w:right w:val="none" w:sz="0" w:space="0" w:color="auto"/>
          </w:divBdr>
          <w:divsChild>
            <w:div w:id="1935093190">
              <w:marLeft w:val="0"/>
              <w:marRight w:val="0"/>
              <w:marTop w:val="0"/>
              <w:marBottom w:val="0"/>
              <w:divBdr>
                <w:top w:val="none" w:sz="0" w:space="0" w:color="auto"/>
                <w:left w:val="none" w:sz="0" w:space="0" w:color="auto"/>
                <w:bottom w:val="none" w:sz="0" w:space="0" w:color="auto"/>
                <w:right w:val="none" w:sz="0" w:space="0" w:color="auto"/>
              </w:divBdr>
            </w:div>
          </w:divsChild>
        </w:div>
        <w:div w:id="934099086">
          <w:marLeft w:val="0"/>
          <w:marRight w:val="0"/>
          <w:marTop w:val="0"/>
          <w:marBottom w:val="0"/>
          <w:divBdr>
            <w:top w:val="none" w:sz="0" w:space="0" w:color="auto"/>
            <w:left w:val="none" w:sz="0" w:space="0" w:color="auto"/>
            <w:bottom w:val="none" w:sz="0" w:space="0" w:color="auto"/>
            <w:right w:val="none" w:sz="0" w:space="0" w:color="auto"/>
          </w:divBdr>
          <w:divsChild>
            <w:div w:id="2076732275">
              <w:marLeft w:val="0"/>
              <w:marRight w:val="0"/>
              <w:marTop w:val="0"/>
              <w:marBottom w:val="0"/>
              <w:divBdr>
                <w:top w:val="none" w:sz="0" w:space="0" w:color="auto"/>
                <w:left w:val="none" w:sz="0" w:space="0" w:color="auto"/>
                <w:bottom w:val="none" w:sz="0" w:space="0" w:color="auto"/>
                <w:right w:val="none" w:sz="0" w:space="0" w:color="auto"/>
              </w:divBdr>
            </w:div>
          </w:divsChild>
        </w:div>
        <w:div w:id="353967998">
          <w:marLeft w:val="0"/>
          <w:marRight w:val="0"/>
          <w:marTop w:val="0"/>
          <w:marBottom w:val="0"/>
          <w:divBdr>
            <w:top w:val="none" w:sz="0" w:space="0" w:color="auto"/>
            <w:left w:val="none" w:sz="0" w:space="0" w:color="auto"/>
            <w:bottom w:val="none" w:sz="0" w:space="0" w:color="auto"/>
            <w:right w:val="none" w:sz="0" w:space="0" w:color="auto"/>
          </w:divBdr>
          <w:divsChild>
            <w:div w:id="14991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pharma.gsk.com/media/asmha1vh/gsk-q1-fy27-analyst-meet-transcript.pdf?utm_source=chatgpt.com" TargetMode="External"/><Relationship Id="rId13" Type="http://schemas.openxmlformats.org/officeDocument/2006/relationships/hyperlink" Target="https://ir.ionis.com/news-releases/news-release-details/ionis-partner-gsk-announces-hibsago-bepirovirsen-approved-japan?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ia-pharma.gsk.com/en-in/products/?utm_source=chatgpt.com" TargetMode="External"/><Relationship Id="rId12" Type="http://schemas.openxmlformats.org/officeDocument/2006/relationships/hyperlink" Target="https://www.gsk.com/en-gb/media/press-releases/gsk-delivers-strong-q2-core-results-performance-and-continued-momentum/?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ijorifinance.com/company/glaxosmithkline-pharmaceuticals-limited/?utm_source=chatgpt.com" TargetMode="External"/><Relationship Id="rId1" Type="http://schemas.openxmlformats.org/officeDocument/2006/relationships/numbering" Target="numbering.xml"/><Relationship Id="rId6" Type="http://schemas.openxmlformats.org/officeDocument/2006/relationships/hyperlink" Target="https://india-pharma.gsk.com/media/kdghfyzr/analyst-meet-q1-2026-27.pdf?utm_source=chatgpt.com" TargetMode="External"/><Relationship Id="rId11" Type="http://schemas.openxmlformats.org/officeDocument/2006/relationships/hyperlink" Target="https://india-pharma.gsk.com/media/p5zhfhxa/bhushan-interview-bs.pdf?utm_source=chatgpt.com" TargetMode="External"/><Relationship Id="rId5" Type="http://schemas.openxmlformats.org/officeDocument/2006/relationships/hyperlink" Target="https://india-pharma.gsk.com/media/scfg3eux/annual-report-2025-26.pdf?utm_source=chatgpt.com" TargetMode="External"/><Relationship Id="rId15" Type="http://schemas.openxmlformats.org/officeDocument/2006/relationships/hyperlink" Target="https://india-pharma.gsk.com/media/h0qjypvx/disclosure-under-regulation30.pdf?utm_source=chatgpt.com" TargetMode="External"/><Relationship Id="rId10" Type="http://schemas.openxmlformats.org/officeDocument/2006/relationships/hyperlink" Target="https://www.fda.gov/drugs/resources-information-approved-drugs/fda-approves-belantamab-mafodotin-blmf-relapsed-or-refractory-multiple-myeloma?utm_source=chatgpt.com" TargetMode="External"/><Relationship Id="rId4" Type="http://schemas.openxmlformats.org/officeDocument/2006/relationships/webSettings" Target="webSettings.xml"/><Relationship Id="rId9" Type="http://schemas.openxmlformats.org/officeDocument/2006/relationships/hyperlink" Target="https://india-pharma.gsk.com/en-in/media/press-releases/gsk-forays-into-oncology-in-india-with-jemperli-and-zejula-bringing-precision-therapies-for-gynaecological-cancers/?utm_source=chatgpt.com" TargetMode="External"/><Relationship Id="rId14" Type="http://schemas.openxmlformats.org/officeDocument/2006/relationships/hyperlink" Target="https://india-pharma.gsk.com/en-in/media/press-releases/gsk-india-delivers-strong-q1fy27-growth-with-continued-portfolio-transformation-profit-after-tax-pat-grows-24-to-inr-253-cror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4650</Words>
  <Characters>26507</Characters>
  <Application>Microsoft Office Word</Application>
  <DocSecurity>0</DocSecurity>
  <Lines>220</Lines>
  <Paragraphs>62</Paragraphs>
  <ScaleCrop>false</ScaleCrop>
  <Company/>
  <LinksUpToDate>false</LinksUpToDate>
  <CharactersWithSpaces>31095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2026-09-15T09:09:00Z</dcterms:created>
  <dcterms:modified xsi:type="dcterms:W3CDTF">2026-09-15T09:10:00Z</dcterms:modified>
</cp:coreProperties>
</file>