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Main details</w:t>
      </w:r>
    </w:p>
    <w:p>
      <w:pPr>
        <w:pStyle w:val="BodyText"/>
      </w:pPr>
      <w:r>
        <w:t xml:space="preserve">Sun Pharma has signed an agreement to acquire 100% of Innovcare Lifesciences for an all-cash consideration of INR2,710mn, implying 2.9x FY26 revenue. Innovcare is an India-only branded healthcare platform engaged in marketing and distribution of pharmaceutical drugs, nutraceuticals and cosmeceuticals. Reported revenue was INR810mn in FY24, INR860mn in FY25 and INR940mn in FY26, implying a modest 7.8% revenue CAGR over FY24-FY26. The asset is not a manufacturing-led acquisition; it is an asset-light brand and distribution model, with products manufactured through third-party contract manufacturers and commercialized through doctor-facing promotion. The portfolio is primarily exposed to VMN, i.e., Vitamins, Minerals and Nutrients, with therapeutic overlays in orthopaedics / pain, gynaecology, sexual wellness and cosmeceuticals. Key visible franchises include Collashot and Tendoshot in bone and joint health, Richkal / D3 products in calcium and vitamin supplementation, Innovfol / Fertilix / Efem in women’s health, Edrive in men’s wellness, and Collashot Glow in beauty-from-within / derma-adjacent nutrition.</w:t>
      </w:r>
    </w:p>
    <w:p>
      <w:pPr>
        <w:pStyle w:val="BodyText"/>
      </w:pPr>
      <w:r>
        <w:t xml:space="preserve">The strategic context is more interesting than the absolute deal size. VMN is one of the faster-growing pools within IPM: per IQVIA, the category expanded from INR16,450mn in May 2025 to INR19,100mn in May 2026, implying 16.1% YoY growth. Innovcare, however, has grown materially below the category, with reported revenue growth of 6.4% in FY25 and 9.3% in FY26. That gap is likely the core underwriting logic for Sun. On public disclosures, Innovcare claims a 400+ sales executive base and 36,000+ HCP reach; if that field force number is current, FY26 revenue translates to only INR2.35mn revenue per sales executive per year, or INR0.20mn per month. That points either to stale disclosure or under-monetized commercial infrastructure. In either case, 2.9x sales is not a cheap multiple for a high-single-digit growth asset. Sun is not paying for the current run-rate alone; it is paying for a validated VMN-led brand basket that can be pushed through a larger, higher-productivity India formulation engine.</w:t>
      </w:r>
    </w:p>
    <w:p>
      <w:pPr>
        <w:pStyle w:val="BodyText"/>
      </w:pPr>
      <w:r>
        <w:t xml:space="preserve">Our view: this is a small but clean bolt-on, and strategically consistent with Sun’s preference for branded, doctor-led assets where distribution and execution can change the growth algorithm. We expect Innovcare to move closer to the VMN category growth rate under Sun ownership, with a reasonable base case of 17-18% revenue CAGR over the next three years from a low base. The synergy levers are straightforward: broader detailing through Sun’s India MR network, better doctor coverage in orthopaedics and gynaecology, stronger pharmacy distribution, procurement and contract-manufacturing optimization, and sharper SKU prioritization around the larger franchises such as Collashot, Tendoshot, Richkal, Innovfol and Edrive. The deal will not move Sun’s consolidated P&amp;L, but it adds a category-relevant domestic consumer-health / nutraceutical adjacency at a time when VMN growth is running well ahead of the broader market.</w:t>
      </w:r>
    </w:p>
    <w:p>
      <w:pPr>
        <w:pStyle w:val="BodyText"/>
      </w:pPr>
      <w:r>
        <w:rPr>
          <w:b/>
          <w:bCs/>
        </w:rPr>
        <w:t xml:space="preserve">Executive summary / highlights</w:t>
      </w:r>
    </w:p>
    <w:p>
      <w:pPr>
        <w:pStyle w:val="BodyText"/>
      </w:pPr>
      <w:r>
        <w:t xml:space="preserve">Sun Pharma’s acquisition of Innovcare is a small INR2,710mn all-cash bolt-on, but strategically sensible. The target is an asset-light, VMN-led branded nutraceutical platform with exposure to bone and joint health, women’s health, sexual wellness and cosmeceuticals. While Innovcare has grown only 8% over FY24-FY26 versus 16.1% YoY growth in the VMN market, this underperformance is precisely the opportunity: Sun can use its larger India field force, distribution depth and commercial discipline to lift the asset toward 17-18% growth over the next three years. At 2.9x FY26 revenue, valuation is not optically cheap, but the deal is less about current revenue and more about acquiring a scalable domestic VMN platform with clear execution upside.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2026-06-22T05:16:44Z</dcterms:created>
  <dcterms:modified xsi:type="dcterms:W3CDTF">2026-06-22T05:16:44Z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