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Exhibit captions and sources</w:t>
      </w:r>
    </w:p>
    <w:p>
      <w:pPr>
        <w:spacing w:after="240"/>
      </w:pPr>
      <w:r>
        <w:rPr>
          <w:sz w:val="20"/>
        </w:rPr>
        <w:t>GSK India and Abbott India  |  Exhibits 1 to 19 in draft order</w:t>
      </w:r>
    </w:p>
    <w:p>
      <w:pPr>
        <w:pStyle w:val="Heading1"/>
      </w:pPr>
      <w:r>
        <w:t>Exhibit 1  GSK sales and EBITDA margin</w:t>
      </w:r>
    </w:p>
    <w:p>
      <w:pPr>
        <w:keepNext/>
      </w:pPr>
      <w:r>
        <w:rPr>
          <w:b/>
        </w:rPr>
        <w:t xml:space="preserve">Caption: </w:t>
      </w:r>
      <w:r>
        <w:t>Sales growth becomes the next earnings driver as GSK sustains EBITDA margins in the mid-30s.</w:t>
      </w:r>
    </w:p>
    <w:p>
      <w:pPr>
        <w:keepLines/>
        <w:spacing w:after="200"/>
      </w:pPr>
      <w:commentRangeStart w:id="0"/>
      <w:r>
        <w:rPr>
          <w:i/>
          <w:sz w:val="19"/>
        </w:rPr>
        <w:t xml:space="preserve">Source: </w:t>
      </w:r>
      <w:commentRangeEnd w:id="0"/>
      <w:r>
        <w:rPr>
          <w:rStyle w:val="CommentReference"/>
        </w:rPr>
        <w:commentReference w:id="0"/>
      </w:r>
      <w:r>
        <w:rPr>
          <w:sz w:val="19"/>
        </w:rPr>
        <w:t>Company reports</w:t>
      </w:r>
      <w:r>
        <w:rPr>
          <w:sz w:val="19"/>
        </w:rPr>
        <w:t>, Bernstein estimates and analysis.</w:t>
      </w:r>
    </w:p>
    <w:p>
      <w:pPr>
        <w:pStyle w:val="Heading1"/>
      </w:pPr>
      <w:r>
        <w:t>Exhibit 2  GSK revenue by therapy</w:t>
      </w:r>
    </w:p>
    <w:p>
      <w:pPr>
        <w:keepNext/>
      </w:pPr>
      <w:r>
        <w:rPr>
          <w:b/>
        </w:rPr>
        <w:t xml:space="preserve">Caption: </w:t>
      </w:r>
      <w:r>
        <w:t>Vaccines and oncology reduce GSK's dependence on General Medicines for growth.</w:t>
      </w:r>
    </w:p>
    <w:p>
      <w:pPr>
        <w:keepLines/>
        <w:spacing w:after="200"/>
      </w:pPr>
      <w:commentRangeStart w:id="1"/>
      <w:r>
        <w:rPr>
          <w:i/>
          <w:sz w:val="19"/>
        </w:rPr>
        <w:t xml:space="preserve">Source: </w:t>
      </w:r>
      <w:commentRangeEnd w:id="1"/>
      <w:r>
        <w:rPr>
          <w:rStyle w:val="CommentReference"/>
        </w:rPr>
        <w:commentReference w:id="1"/>
      </w:r>
      <w:r>
        <w:rPr>
          <w:sz w:val="19"/>
        </w:rPr>
        <w:t>Company reports</w:t>
      </w:r>
      <w:r>
        <w:rPr>
          <w:sz w:val="19"/>
        </w:rPr>
        <w:t>, Bernstein estimates and analysis.</w:t>
      </w:r>
    </w:p>
    <w:p>
      <w:pPr>
        <w:pStyle w:val="Heading1"/>
      </w:pPr>
      <w:r>
        <w:t>Exhibit 3  Trelegy share and the single inhaler triple therapy market</w:t>
      </w:r>
    </w:p>
    <w:p>
      <w:pPr>
        <w:keepNext/>
      </w:pPr>
      <w:r>
        <w:rPr>
          <w:b/>
        </w:rPr>
        <w:t xml:space="preserve">Caption: </w:t>
      </w:r>
      <w:r>
        <w:t>Trelegy's post-exclusivity share gains compound growth in an expanding triple-therapy market.</w:t>
      </w:r>
    </w:p>
    <w:p>
      <w:pPr>
        <w:keepLines/>
        <w:spacing w:after="200"/>
      </w:pPr>
      <w:commentRangeStart w:id="2"/>
      <w:r>
        <w:rPr>
          <w:i/>
          <w:sz w:val="19"/>
        </w:rPr>
        <w:t xml:space="preserve">Source: </w:t>
      </w:r>
      <w:commentRangeEnd w:id="2"/>
      <w:r>
        <w:rPr>
          <w:rStyle w:val="CommentReference"/>
        </w:rPr>
        <w:commentReference w:id="2"/>
      </w:r>
      <w:r>
        <w:rPr>
          <w:sz w:val="19"/>
        </w:rPr>
        <w:t>IPM sales data, Bernstein analysis.</w:t>
      </w:r>
    </w:p>
    <w:p>
      <w:pPr>
        <w:pStyle w:val="Heading1"/>
      </w:pPr>
      <w:r>
        <w:t>Exhibit 4  Ellipta internal device design</w:t>
      </w:r>
    </w:p>
    <w:p>
      <w:pPr>
        <w:keepNext/>
      </w:pPr>
      <w:r>
        <w:rPr>
          <w:b/>
        </w:rPr>
        <w:t xml:space="preserve">Caption: </w:t>
      </w:r>
      <w:r>
        <w:t>Ellipta integrates dose preparation into opening the cover, simplifying repeated use.</w:t>
      </w:r>
    </w:p>
    <w:p>
      <w:pPr>
        <w:keepLines/>
        <w:spacing w:after="200"/>
      </w:pPr>
      <w:commentRangeStart w:id="3"/>
      <w:r>
        <w:rPr>
          <w:i/>
          <w:sz w:val="19"/>
        </w:rPr>
        <w:t xml:space="preserve">Source: </w:t>
      </w:r>
      <w:commentRangeEnd w:id="3"/>
      <w:r>
        <w:rPr>
          <w:rStyle w:val="CommentReference"/>
        </w:rPr>
        <w:commentReference w:id="3"/>
      </w:r>
      <w:hyperlink r:id="rId10">
        <w:r>
          <w:rPr>
            <w:color w:val="000000"/>
            <w:sz w:val="19"/>
            <w:u w:val="single"/>
          </w:rPr>
          <w:t>Grant et al., Journal of Aerosol Medicine and Pulmonary Drug Delivery (2015), Figure 2a</w:t>
        </w:r>
      </w:hyperlink>
      <w:r>
        <w:rPr>
          <w:sz w:val="19"/>
        </w:rPr>
        <w:t>.</w:t>
      </w:r>
    </w:p>
    <w:p>
      <w:pPr>
        <w:pStyle w:val="Heading1"/>
      </w:pPr>
      <w:r>
        <w:t>Exhibit 5  Ciphaler dose activation diagram</w:t>
      </w:r>
    </w:p>
    <w:p>
      <w:pPr>
        <w:keepNext/>
      </w:pPr>
      <w:r>
        <w:rPr>
          <w:b/>
        </w:rPr>
        <w:t xml:space="preserve">Caption: </w:t>
      </w:r>
      <w:r>
        <w:t>Ciphaler's separate loading step makes dose preparation a point of device differentiation.</w:t>
      </w:r>
    </w:p>
    <w:p>
      <w:pPr>
        <w:keepLines/>
        <w:spacing w:after="200"/>
      </w:pPr>
      <w:commentRangeStart w:id="4"/>
      <w:r>
        <w:rPr>
          <w:i/>
          <w:sz w:val="19"/>
        </w:rPr>
        <w:t xml:space="preserve">Source: </w:t>
      </w:r>
      <w:commentRangeEnd w:id="4"/>
      <w:r>
        <w:rPr>
          <w:rStyle w:val="CommentReference"/>
        </w:rPr>
        <w:commentReference w:id="4"/>
      </w:r>
      <w:hyperlink r:id="rId11">
        <w:r>
          <w:rPr>
            <w:color w:val="000000"/>
            <w:sz w:val="19"/>
            <w:u w:val="single"/>
          </w:rPr>
          <w:t>Naik et al., Cipla, NAPCON poster on accidental double activation, Figure 2</w:t>
        </w:r>
      </w:hyperlink>
      <w:r>
        <w:rPr>
          <w:sz w:val="19"/>
        </w:rPr>
        <w:t>.</w:t>
      </w:r>
    </w:p>
    <w:p>
      <w:pPr>
        <w:pStyle w:val="Heading1"/>
        <w:pageBreakBefore/>
      </w:pPr>
      <w:r>
        <w:t>Exhibit 6  Ellipta critical handling errors versus five devices</w:t>
      </w:r>
    </w:p>
    <w:p>
      <w:pPr>
        <w:keepNext/>
      </w:pPr>
      <w:r>
        <w:rPr>
          <w:b/>
        </w:rPr>
        <w:t xml:space="preserve">Caption: </w:t>
      </w:r>
      <w:r>
        <w:t>Ellipta's lower handling-error rate supports device differentiation beyond molecule exclusivity.</w:t>
      </w:r>
    </w:p>
    <w:p>
      <w:pPr>
        <w:keepLines/>
        <w:spacing w:after="200"/>
      </w:pPr>
      <w:commentRangeStart w:id="5"/>
      <w:r>
        <w:rPr>
          <w:i/>
          <w:sz w:val="19"/>
        </w:rPr>
        <w:t xml:space="preserve">Source: </w:t>
      </w:r>
      <w:commentRangeEnd w:id="5"/>
      <w:r>
        <w:rPr>
          <w:rStyle w:val="CommentReference"/>
        </w:rPr>
        <w:commentReference w:id="5"/>
      </w:r>
      <w:hyperlink r:id="rId12">
        <w:r>
          <w:rPr>
            <w:color w:val="000000"/>
            <w:sz w:val="19"/>
            <w:u w:val="single"/>
          </w:rPr>
          <w:t>van der Palen et al., npj Primary Care Respiratory Medicine (2016), Figure 1a</w:t>
        </w:r>
      </w:hyperlink>
      <w:r>
        <w:rPr>
          <w:sz w:val="19"/>
        </w:rPr>
        <w:t>, Bernstein analysis.</w:t>
      </w:r>
    </w:p>
    <w:p>
      <w:pPr>
        <w:pStyle w:val="Heading1"/>
      </w:pPr>
      <w:r>
        <w:t>Exhibit 7  Jemperli eligible patient pool</w:t>
      </w:r>
    </w:p>
    <w:p>
      <w:pPr>
        <w:keepNext/>
      </w:pPr>
      <w:r>
        <w:rPr>
          <w:b/>
        </w:rPr>
        <w:t xml:space="preserve">Caption: </w:t>
      </w:r>
      <w:r>
        <w:t>First-line approval expands Jemperli's eligible patient opportunity by roughly 7.5x.</w:t>
      </w:r>
    </w:p>
    <w:p>
      <w:pPr>
        <w:keepLines/>
        <w:spacing w:after="200"/>
      </w:pPr>
      <w:commentRangeStart w:id="6"/>
      <w:r>
        <w:rPr>
          <w:i/>
          <w:sz w:val="19"/>
        </w:rPr>
        <w:t xml:space="preserve">Source: </w:t>
      </w:r>
      <w:commentRangeEnd w:id="6"/>
      <w:r>
        <w:rPr>
          <w:rStyle w:val="CommentReference"/>
        </w:rPr>
        <w:commentReference w:id="6"/>
      </w:r>
      <w:hyperlink r:id="rId13">
        <w:r>
          <w:rPr>
            <w:color w:val="000000"/>
            <w:sz w:val="19"/>
            <w:u w:val="single"/>
          </w:rPr>
          <w:t>GSK India Q3 FY26 earnings call, 9 February 2026, pp. 3 and 8</w:t>
        </w:r>
      </w:hyperlink>
      <w:r>
        <w:rPr>
          <w:sz w:val="19"/>
        </w:rPr>
        <w:t>, Bernstein analysis.</w:t>
      </w:r>
    </w:p>
    <w:p>
      <w:pPr>
        <w:pStyle w:val="Heading1"/>
      </w:pPr>
      <w:r>
        <w:t>Exhibit 8  Blenrep progression free survival and India patient estimates</w:t>
      </w:r>
    </w:p>
    <w:p>
      <w:pPr>
        <w:keepNext/>
      </w:pPr>
      <w:r>
        <w:rPr>
          <w:b/>
        </w:rPr>
        <w:t xml:space="preserve">Caption: </w:t>
      </w:r>
      <w:r>
        <w:t>Blenrep plus BorDex improves PFS versus daratumumab plus BorDex, supporting adoption in relapsed myeloma.</w:t>
      </w:r>
    </w:p>
    <w:p>
      <w:pPr>
        <w:keepLines/>
        <w:spacing w:after="200"/>
      </w:pPr>
      <w:commentRangeStart w:id="7"/>
      <w:r>
        <w:rPr>
          <w:i/>
          <w:sz w:val="19"/>
        </w:rPr>
        <w:t xml:space="preserve">Source: </w:t>
      </w:r>
      <w:commentRangeEnd w:id="7"/>
      <w:r>
        <w:rPr>
          <w:rStyle w:val="CommentReference"/>
        </w:rPr>
        <w:commentReference w:id="7"/>
      </w:r>
      <w:hyperlink r:id="rId14">
        <w:r>
          <w:rPr>
            <w:color w:val="000000"/>
            <w:sz w:val="19"/>
            <w:u w:val="single"/>
          </w:rPr>
          <w:t>GSK DREAMM-7 interim analysis, 5 February 2024</w:t>
        </w:r>
      </w:hyperlink>
      <w:r>
        <w:rPr>
          <w:sz w:val="19"/>
        </w:rPr>
        <w:t xml:space="preserve">; </w:t>
      </w:r>
      <w:hyperlink r:id="rId15">
        <w:r>
          <w:rPr>
            <w:color w:val="000000"/>
            <w:sz w:val="19"/>
            <w:u w:val="single"/>
          </w:rPr>
          <w:t>GSK India Q1 FY27 earnings call, 3 August 2026, p. 9</w:t>
        </w:r>
      </w:hyperlink>
      <w:r>
        <w:rPr>
          <w:sz w:val="19"/>
        </w:rPr>
        <w:t>; Bernstein analysis.</w:t>
      </w:r>
    </w:p>
    <w:p>
      <w:pPr>
        <w:pStyle w:val="Heading1"/>
      </w:pPr>
      <w:r>
        <w:t>Exhibit 9  GSK oncology revenue by drug</w:t>
      </w:r>
    </w:p>
    <w:p>
      <w:pPr>
        <w:keepNext/>
      </w:pPr>
      <w:r>
        <w:rPr>
          <w:b/>
        </w:rPr>
        <w:t xml:space="preserve">Caption: </w:t>
      </w:r>
      <w:r>
        <w:t>Blenrep supplies the largest incremental oncology revenue as GSK expands beyond gynaecological cancers.</w:t>
      </w:r>
    </w:p>
    <w:p>
      <w:pPr>
        <w:keepLines/>
        <w:spacing w:after="200"/>
      </w:pPr>
      <w:commentRangeStart w:id="8"/>
      <w:r>
        <w:rPr>
          <w:i/>
          <w:sz w:val="19"/>
        </w:rPr>
        <w:t xml:space="preserve">Source: </w:t>
      </w:r>
      <w:commentRangeEnd w:id="8"/>
      <w:r>
        <w:rPr>
          <w:rStyle w:val="CommentReference"/>
        </w:rPr>
        <w:commentReference w:id="8"/>
      </w:r>
      <w:r>
        <w:rPr>
          <w:sz w:val="19"/>
        </w:rPr>
        <w:t>Company reports, Bernstein estimates and analysis.</w:t>
      </w:r>
    </w:p>
    <w:p>
      <w:pPr>
        <w:pStyle w:val="Heading1"/>
      </w:pPr>
      <w:r>
        <w:t>Exhibit 10  GSK marketed portfolio and future launch revenue bridge</w:t>
      </w:r>
    </w:p>
    <w:p>
      <w:pPr>
        <w:keepNext/>
      </w:pPr>
      <w:r>
        <w:rPr>
          <w:b/>
        </w:rPr>
        <w:t xml:space="preserve">Caption: </w:t>
      </w:r>
      <w:r>
        <w:t>New launches add a second growth driver alongside expansion of GSK's marketed portfolio.</w:t>
      </w:r>
    </w:p>
    <w:p>
      <w:pPr>
        <w:keepLines/>
        <w:spacing w:after="200"/>
      </w:pPr>
      <w:commentRangeStart w:id="9"/>
      <w:r>
        <w:rPr>
          <w:i/>
          <w:sz w:val="19"/>
        </w:rPr>
        <w:t xml:space="preserve">Source: </w:t>
      </w:r>
      <w:commentRangeEnd w:id="9"/>
      <w:r>
        <w:rPr>
          <w:rStyle w:val="CommentReference"/>
        </w:rPr>
        <w:commentReference w:id="9"/>
      </w:r>
      <w:r>
        <w:rPr>
          <w:sz w:val="19"/>
        </w:rPr>
        <w:t>Company reports, Bernstein estimates and analysis.</w:t>
      </w:r>
    </w:p>
    <w:p>
      <w:pPr>
        <w:pStyle w:val="Heading1"/>
        <w:pageBreakBefore/>
      </w:pPr>
      <w:r>
        <w:t>Exhibit 11  India vaccine market by category</w:t>
      </w:r>
    </w:p>
    <w:p>
      <w:pPr>
        <w:keepNext/>
      </w:pPr>
      <w:r>
        <w:rPr>
          <w:b/>
        </w:rPr>
        <w:t xml:space="preserve">Caption: </w:t>
      </w:r>
      <w:r>
        <w:t>Shingles and RSV expand adult vaccination into an estimated INR7bn category by FY30E.</w:t>
      </w:r>
    </w:p>
    <w:p>
      <w:pPr>
        <w:keepLines/>
        <w:spacing w:after="200"/>
      </w:pPr>
      <w:commentRangeStart w:id="10"/>
      <w:r>
        <w:rPr>
          <w:i/>
          <w:sz w:val="19"/>
        </w:rPr>
        <w:t xml:space="preserve">Source: </w:t>
      </w:r>
      <w:commentRangeEnd w:id="10"/>
      <w:r>
        <w:rPr>
          <w:rStyle w:val="CommentReference"/>
        </w:rPr>
        <w:commentReference w:id="10"/>
      </w:r>
      <w:r>
        <w:rPr>
          <w:sz w:val="19"/>
        </w:rPr>
        <w:t>Bernstein estimates and analysis.</w:t>
      </w:r>
    </w:p>
    <w:p>
      <w:pPr>
        <w:pStyle w:val="Heading1"/>
      </w:pPr>
      <w:r>
        <w:t>Exhibit 12  Shingrix and Arexvy revenue forecast</w:t>
      </w:r>
    </w:p>
    <w:p>
      <w:pPr>
        <w:keepNext/>
      </w:pPr>
      <w:r>
        <w:rPr>
          <w:b/>
        </w:rPr>
        <w:t xml:space="preserve">Caption: </w:t>
      </w:r>
      <w:r>
        <w:t>Shingrix scaling and Arexvy adoption extend GSK's vaccine growth beyond the paediatric base.</w:t>
      </w:r>
    </w:p>
    <w:p>
      <w:pPr>
        <w:keepLines/>
        <w:spacing w:after="200"/>
      </w:pPr>
      <w:commentRangeStart w:id="11"/>
      <w:r>
        <w:rPr>
          <w:i/>
          <w:sz w:val="19"/>
        </w:rPr>
        <w:t xml:space="preserve">Source: </w:t>
      </w:r>
      <w:commentRangeEnd w:id="11"/>
      <w:r>
        <w:rPr>
          <w:rStyle w:val="CommentReference"/>
        </w:rPr>
        <w:commentReference w:id="11"/>
      </w:r>
      <w:r>
        <w:rPr>
          <w:sz w:val="19"/>
        </w:rPr>
        <w:t>Company reports, Bernstein estimates and analysis.</w:t>
      </w:r>
    </w:p>
    <w:p>
      <w:pPr>
        <w:pStyle w:val="Heading1"/>
      </w:pPr>
      <w:r>
        <w:t>Exhibit 13  GSK vaccine revenue waterfall</w:t>
      </w:r>
    </w:p>
    <w:p>
      <w:pPr>
        <w:keepNext/>
      </w:pPr>
      <w:r>
        <w:rPr>
          <w:b/>
        </w:rPr>
        <w:t xml:space="preserve">Caption: </w:t>
      </w:r>
      <w:r>
        <w:t>Shingrix and Arexvy supply most incremental vaccine revenue through FY30E.</w:t>
      </w:r>
    </w:p>
    <w:p>
      <w:pPr>
        <w:keepLines/>
        <w:spacing w:after="200"/>
      </w:pPr>
      <w:commentRangeStart w:id="12"/>
      <w:r>
        <w:rPr>
          <w:i/>
          <w:sz w:val="19"/>
        </w:rPr>
        <w:t xml:space="preserve">Source: </w:t>
      </w:r>
      <w:commentRangeEnd w:id="12"/>
      <w:r>
        <w:rPr>
          <w:rStyle w:val="CommentReference"/>
        </w:rPr>
        <w:commentReference w:id="12"/>
      </w:r>
      <w:r>
        <w:rPr>
          <w:sz w:val="19"/>
        </w:rPr>
        <w:t>Company reports, Bernstein estimates and analysis.</w:t>
      </w:r>
    </w:p>
    <w:p>
      <w:pPr>
        <w:pStyle w:val="Heading1"/>
      </w:pPr>
      <w:r>
        <w:t>Exhibit 14  Abbott revenue growth waterfall</w:t>
      </w:r>
    </w:p>
    <w:p>
      <w:pPr>
        <w:keepNext/>
      </w:pPr>
      <w:r>
        <w:rPr>
          <w:b/>
        </w:rPr>
        <w:t xml:space="preserve">Caption: </w:t>
      </w:r>
      <w:r>
        <w:t>Limited revenue from recent GI launches leaves Abbott's growth dependent on established brands.</w:t>
      </w:r>
    </w:p>
    <w:p>
      <w:pPr>
        <w:keepLines/>
        <w:spacing w:after="200"/>
      </w:pPr>
      <w:commentRangeStart w:id="13"/>
      <w:r>
        <w:rPr>
          <w:i/>
          <w:sz w:val="19"/>
        </w:rPr>
        <w:t xml:space="preserve">Source: </w:t>
      </w:r>
      <w:commentRangeEnd w:id="13"/>
      <w:r>
        <w:rPr>
          <w:rStyle w:val="CommentReference"/>
        </w:rPr>
        <w:commentReference w:id="13"/>
      </w:r>
      <w:r>
        <w:rPr>
          <w:sz w:val="19"/>
        </w:rPr>
        <w:t>Company reports, Bernstein estimates and analysis.</w:t>
      </w:r>
    </w:p>
    <w:p>
      <w:pPr>
        <w:pStyle w:val="Heading1"/>
      </w:pPr>
      <w:r>
        <w:t>Exhibit 15  Abbott growth versus IPM and domestic peers</w:t>
      </w:r>
    </w:p>
    <w:p>
      <w:pPr>
        <w:keepNext/>
      </w:pPr>
      <w:r>
        <w:rPr>
          <w:b/>
        </w:rPr>
        <w:t xml:space="preserve">Caption: </w:t>
      </w:r>
      <w:r>
        <w:t>Abbott's persistent growth gap strengthens the need for faster portfolio renewal.</w:t>
      </w:r>
    </w:p>
    <w:p>
      <w:pPr>
        <w:keepLines/>
        <w:spacing w:after="200"/>
      </w:pPr>
      <w:commentRangeStart w:id="14"/>
      <w:r>
        <w:rPr>
          <w:i/>
          <w:sz w:val="19"/>
        </w:rPr>
        <w:t xml:space="preserve">Source: </w:t>
      </w:r>
      <w:commentRangeEnd w:id="14"/>
      <w:r>
        <w:rPr>
          <w:rStyle w:val="CommentReference"/>
        </w:rPr>
        <w:commentReference w:id="14"/>
      </w:r>
      <w:r>
        <w:rPr>
          <w:sz w:val="19"/>
        </w:rPr>
        <w:t>IPM sales data, Bernstein analysis.</w:t>
      </w:r>
    </w:p>
    <w:p>
      <w:pPr>
        <w:pStyle w:val="Heading1"/>
        <w:pageBreakBefore/>
      </w:pPr>
      <w:r>
        <w:t>Exhibit 16  CTRI registrations across company groups</w:t>
      </w:r>
    </w:p>
    <w:p>
      <w:pPr>
        <w:keepNext/>
      </w:pPr>
      <w:r>
        <w:rPr>
          <w:b/>
        </w:rPr>
        <w:t xml:space="preserve">Caption: </w:t>
      </w:r>
      <w:r>
        <w:t>Group trial activity provides limited visibility on Abbott India's listed pharmaceutical launch pipeline.</w:t>
      </w:r>
    </w:p>
    <w:p>
      <w:pPr>
        <w:keepLines/>
        <w:spacing w:after="200"/>
      </w:pPr>
      <w:commentRangeStart w:id="15"/>
      <w:r>
        <w:rPr>
          <w:i/>
          <w:sz w:val="19"/>
        </w:rPr>
        <w:t xml:space="preserve">Source: </w:t>
      </w:r>
      <w:commentRangeEnd w:id="15"/>
      <w:r>
        <w:rPr>
          <w:rStyle w:val="CommentReference"/>
        </w:rPr>
        <w:commentReference w:id="15"/>
      </w:r>
      <w:hyperlink r:id="rId16">
        <w:r>
          <w:rPr>
            <w:color w:val="000000"/>
            <w:sz w:val="19"/>
            <w:u w:val="single"/>
          </w:rPr>
          <w:t>Clinical Trials Registry - India (CTRI)</w:t>
        </w:r>
      </w:hyperlink>
      <w:r>
        <w:rPr>
          <w:sz w:val="19"/>
        </w:rPr>
        <w:t>, company reports, Bernstein analysis.</w:t>
      </w:r>
    </w:p>
    <w:p>
      <w:pPr>
        <w:pStyle w:val="Heading1"/>
      </w:pPr>
      <w:r>
        <w:t>Exhibit 17  Abbott annual product introductions</w:t>
      </w:r>
    </w:p>
    <w:p>
      <w:pPr>
        <w:keepNext/>
      </w:pPr>
      <w:r>
        <w:rPr>
          <w:b/>
        </w:rPr>
        <w:t xml:space="preserve">Caption: </w:t>
      </w:r>
      <w:r>
        <w:t>Fewer launches increase the burden on established brands to sustain Abbott's growth.</w:t>
      </w:r>
    </w:p>
    <w:p>
      <w:pPr>
        <w:keepLines/>
        <w:spacing w:after="200"/>
      </w:pPr>
      <w:commentRangeStart w:id="16"/>
      <w:r>
        <w:rPr>
          <w:i/>
          <w:sz w:val="19"/>
        </w:rPr>
        <w:t xml:space="preserve">Source: </w:t>
      </w:r>
      <w:commentRangeEnd w:id="16"/>
      <w:r>
        <w:rPr>
          <w:rStyle w:val="CommentReference"/>
        </w:rPr>
        <w:commentReference w:id="16"/>
      </w:r>
      <w:hyperlink r:id="rId17">
        <w:r>
          <w:rPr>
            <w:color w:val="000000"/>
            <w:sz w:val="19"/>
            <w:u w:val="single"/>
          </w:rPr>
          <w:t>Abbott India annual reports FY23–FY26</w:t>
        </w:r>
      </w:hyperlink>
      <w:r>
        <w:rPr>
          <w:sz w:val="19"/>
        </w:rPr>
        <w:t>, Bernstein analysis.</w:t>
      </w:r>
    </w:p>
    <w:p>
      <w:pPr>
        <w:pStyle w:val="Heading1"/>
      </w:pPr>
      <w:r>
        <w:t>Exhibit 18  Duphaston and competitor tablet MRPs</w:t>
      </w:r>
    </w:p>
    <w:p>
      <w:pPr>
        <w:keepNext/>
      </w:pPr>
      <w:r>
        <w:rPr>
          <w:b/>
        </w:rPr>
        <w:t xml:space="preserve">Caption: </w:t>
      </w:r>
      <w:r>
        <w:t>Lower-priced dydrogesterone alternatives make brand preference central to defending Duphaston's premium.</w:t>
      </w:r>
    </w:p>
    <w:p>
      <w:pPr>
        <w:keepLines/>
        <w:spacing w:after="200"/>
      </w:pPr>
      <w:commentRangeStart w:id="17"/>
      <w:r>
        <w:rPr>
          <w:i/>
          <w:sz w:val="19"/>
        </w:rPr>
        <w:t xml:space="preserve">Source: </w:t>
      </w:r>
      <w:commentRangeEnd w:id="17"/>
      <w:r>
        <w:rPr>
          <w:rStyle w:val="CommentReference"/>
        </w:rPr>
        <w:commentReference w:id="17"/>
      </w:r>
      <w:r>
        <w:rPr>
          <w:sz w:val="19"/>
        </w:rPr>
        <w:t>Retail MRP data, Bernstein analysis.</w:t>
      </w:r>
    </w:p>
    <w:p>
      <w:pPr>
        <w:pStyle w:val="Heading1"/>
      </w:pPr>
      <w:r>
        <w:t>Exhibit 19  Duphaston value share in dydrogesterone</w:t>
      </w:r>
    </w:p>
    <w:p>
      <w:pPr>
        <w:keepNext/>
      </w:pPr>
      <w:r>
        <w:rPr>
          <w:b/>
        </w:rPr>
        <w:t xml:space="preserve">Caption: </w:t>
      </w:r>
      <w:r>
        <w:t>Duphaston's share loss raises the category growth needed to sustain brand sales.</w:t>
      </w:r>
    </w:p>
    <w:p>
      <w:pPr>
        <w:keepLines/>
        <w:spacing w:after="200"/>
      </w:pPr>
      <w:commentRangeStart w:id="18"/>
      <w:r>
        <w:rPr>
          <w:i/>
          <w:sz w:val="19"/>
        </w:rPr>
        <w:t xml:space="preserve">Source: </w:t>
      </w:r>
      <w:commentRangeEnd w:id="18"/>
      <w:r>
        <w:rPr>
          <w:rStyle w:val="CommentReference"/>
        </w:rPr>
        <w:commentReference w:id="18"/>
      </w:r>
      <w:r>
        <w:rPr>
          <w:sz w:val="19"/>
        </w:rPr>
        <w:t>IPM sales data, Bernstein analysis.</w:t>
      </w:r>
    </w:p>
    <w:sectPr w:rsidR="00FC693F" w:rsidRPr="0006063C" w:rsidSect="00034616">
      <w:pgSz w:w="12240" w:h="15840"/>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ource review" w:initials="SR" w:date="2026-10-30T06:40:25Z">
    <w:p>
      <w:pPr>
        <w:pStyle w:val="CommentText"/>
      </w:pPr>
      <w:r>
        <w:rPr>
          <w:rStyle w:val="CommentReference"/>
        </w:rPr>
        <w:annotationRef/>
      </w:r>
      <w:r>
        <w:t>Historical revenue and margins come from company financial statements; forecast revenue and margins are Bernstein estimates. Keep the EBITDA definition consistent with the model.</w:t>
      </w:r>
    </w:p>
  </w:comment>
  <w:comment w:id="1" w:author="Source review" w:initials="SR" w:date="2026-10-30T06:40:25Z">
    <w:p>
      <w:pPr>
        <w:pStyle w:val="CommentText"/>
      </w:pPr>
      <w:r>
        <w:rPr>
          <w:rStyle w:val="CommentReference"/>
        </w:rPr>
        <w:annotationRef/>
      </w:r>
      <w:r>
        <w:t>Therapy allocations and forward estimates should be attributed to Bernstein where they are not separately reported by the company.</w:t>
      </w:r>
    </w:p>
  </w:comment>
  <w:comment w:id="2" w:author="Source review" w:initials="SR" w:date="2026-10-30T06:40:25Z">
    <w:p>
      <w:pPr>
        <w:pStyle w:val="CommentText"/>
      </w:pPr>
      <w:r>
        <w:rPr>
          <w:rStyle w:val="CommentReference"/>
        </w:rPr>
        <w:annotationRef/>
      </w:r>
      <w:r>
        <w:t>The supplied screenshots do not identify the licensed IPM data vendor. Retain the actual provider name from the original dataset when available; do not substitute IQVIA or Pharmarack without confirmation. Share gains and category expansion do not by themselves establish that device superiority caused the gains.</w:t>
      </w:r>
    </w:p>
  </w:comment>
  <w:comment w:id="3" w:author="Source review" w:initials="SR" w:date="2026-10-30T06:40:25Z">
    <w:p>
      <w:pPr>
        <w:pStyle w:val="CommentText"/>
      </w:pPr>
      <w:r>
        <w:rPr>
          <w:rStyle w:val="CommentReference"/>
        </w:rPr>
        <w:annotationRef/>
      </w:r>
      <w:r>
        <w:t>Verified original image: Grant AC, Walker R, Hamilton M, Garrill K. The ELLIPTA Dry Powder Inhaler: Design, Functionality, In Vitro Dosing Performance and Critical Task Compliance by Patients and Caregivers. The pictured cutaway is Figure 2a. The paper describes integrated blister advance and peeling on opening.</w:t>
      </w:r>
    </w:p>
  </w:comment>
  <w:comment w:id="4" w:author="Source review" w:initials="SR" w:date="2026-10-30T06:40:25Z">
    <w:p>
      <w:pPr>
        <w:pStyle w:val="CommentText"/>
      </w:pPr>
      <w:r>
        <w:rPr>
          <w:rStyle w:val="CommentReference"/>
        </w:rPr>
        <w:annotationRef/>
      </w:r>
      <w:r>
        <w:t>Verified original figure: Dose emission following accidental double activation of a novel discrete multi-dose dry powder inhaler (mDPI): An in-vitro evaluation, Vaishali Naik et al., Cipla. Figure 2 models a double-actuation scenario for formoterol/budesonide Ciphaler. It is not a head-to-head study against Ellipta or evidence for clinical inferiority of a triple-therapy generic. The poster describes sliding the thumb grip and lever to load a dose.</w:t>
      </w:r>
    </w:p>
  </w:comment>
  <w:comment w:id="5" w:author="Source review" w:initials="SR" w:date="2026-10-30T06:40:25Z">
    <w:p>
      <w:pPr>
        <w:pStyle w:val="CommentText"/>
      </w:pPr>
      <w:r>
        <w:rPr>
          <w:rStyle w:val="CommentReference"/>
        </w:rPr>
        <w:annotationRef/>
      </w:r>
      <w:r>
        <w:t>COPD patients were device-naive and assessed after reading the patient information leaflet. The paired critical-error rates are Ellipta/comparator: Diskus 5%/44%, MDI 13%/60%, Turbuhaler 8%/44%, Handihaler 14%/48%, Breezhaler 13%/46%. These are five separate comparisons. The study concerns Ellipta devices, not a Trelegy-versus-Ciphaler efficacy trial, and does not directly establish long-term adherence or brand retention.</w:t>
      </w:r>
    </w:p>
  </w:comment>
  <w:comment w:id="6" w:author="Source review" w:initials="SR" w:date="2026-10-30T06:40:25Z">
    <w:p>
      <w:pPr>
        <w:pStyle w:val="CommentText"/>
      </w:pPr>
      <w:r>
        <w:rPr>
          <w:rStyle w:val="CommentReference"/>
        </w:rPr>
        <w:annotationRef/>
      </w:r>
      <w:r>
        <w:t>Management described about 800 eligible second-line patients and about 6,000 first-line patients. This is an eligibility comparison, not evidence of 6,000 incremental unique patients added to 800. Correct the waterfall labels and bar heights so the added bar is not confused with the total. If the RUBY survival annotation remains, separately cite the RUBY trial results.</w:t>
      </w:r>
    </w:p>
  </w:comment>
  <w:comment w:id="7" w:author="Source review" w:initials="SR" w:date="2026-10-30T06:40:25Z">
    <w:p>
      <w:pPr>
        <w:pStyle w:val="CommentText"/>
      </w:pPr>
      <w:r>
        <w:rPr>
          <w:rStyle w:val="CommentReference"/>
        </w:rPr>
        <w:annotationRef/>
      </w:r>
      <w:r>
        <w:t>The displayed 36.6 versus 13.4 months and HR 0.41 are the 2024 interim DREAMM-7 data; label the data cut accordingly. BorDex is bortezomib plus dexamethasone. The 59% figure is a reduction in hazard of progression or death, not a 59% increase in PFS. India call estimates are about 19,000 new cases and 7,000–8,000 second-line patients; 20,000 is rounded. Retain attribution to management for these population estimates.</w:t>
      </w:r>
    </w:p>
  </w:comment>
  <w:comment w:id="8" w:author="Source review" w:initials="SR" w:date="2026-10-30T06:40:25Z">
    <w:p>
      <w:pPr>
        <w:pStyle w:val="CommentText"/>
      </w:pPr>
      <w:r>
        <w:rPr>
          <w:rStyle w:val="CommentReference"/>
        </w:rPr>
        <w:annotationRef/>
      </w:r>
      <w:r>
        <w:t>Drug-level forecasts are Bernstein estimates. The chart annotation referring to a future first-line Blenrep approval requires a current regulatory or trial source and a stated geography. It should not be presented as an already approved India indication.</w:t>
      </w:r>
    </w:p>
  </w:comment>
  <w:comment w:id="9" w:author="Source review" w:initials="SR" w:date="2026-10-30T06:40:25Z">
    <w:p>
      <w:pPr>
        <w:pStyle w:val="CommentText"/>
      </w:pPr>
      <w:r>
        <w:rPr>
          <w:rStyle w:val="CommentReference"/>
        </w:rPr>
        <w:annotationRef/>
      </w:r>
      <w:r>
        <w:t>Reconcile the chart's 9.5% marketed-portfolio CAGR with the approximately 9% in the text, and reconcile FY30E total revenue with Exhibit 1. These are analyst forecasts, not company guidance.</w:t>
      </w:r>
    </w:p>
  </w:comment>
  <w:comment w:id="10" w:author="Source review" w:initials="SR" w:date="2026-10-30T06:40:25Z">
    <w:p>
      <w:pPr>
        <w:pStyle w:val="CommentText"/>
      </w:pPr>
      <w:r>
        <w:rPr>
          <w:rStyle w:val="CommentReference"/>
        </w:rPr>
        <w:annotationRef/>
      </w:r>
      <w:r>
        <w:t>The INR7bn is a market-category forecast, not GSK-only sales or an official industry forecast. If the historical category base is drawn from a licensed IPM dataset, add the actual provider from the source workbook. Do not attribute the forecast to that provider.</w:t>
      </w:r>
    </w:p>
  </w:comment>
  <w:comment w:id="11" w:author="Source review" w:initials="SR" w:date="2026-10-30T06:40:25Z">
    <w:p>
      <w:pPr>
        <w:pStyle w:val="CommentText"/>
      </w:pPr>
      <w:r>
        <w:rPr>
          <w:rStyle w:val="CommentReference"/>
        </w:rPr>
        <w:annotationRef/>
      </w:r>
      <w:r>
        <w:t>The brand-labelled bars appear to represent GSK product forecasts, whereas the existing title calls them TAM. Confirm the underlying series. If they are company sales, retitle the chart as Shingrix and Arexvy revenue forecasts. The caption deliberately avoids equating them with total category sales.</w:t>
      </w:r>
    </w:p>
  </w:comment>
  <w:comment w:id="12" w:author="Source review" w:initials="SR" w:date="2026-10-30T06:40:25Z">
    <w:p>
      <w:pPr>
        <w:pStyle w:val="CommentText"/>
      </w:pPr>
      <w:r>
        <w:rPr>
          <w:rStyle w:val="CommentReference"/>
        </w:rPr>
        <w:annotationRef/>
      </w:r>
      <w:r>
        <w:t>Reconcile the ending vaccine revenue and implied CAGR with the forecast model and Exhibit 2. The screenshot shows a different ending level from the earlier presentation; avoid carrying over a precise CAGR until the values agree.</w:t>
      </w:r>
    </w:p>
  </w:comment>
  <w:comment w:id="13" w:author="Source review" w:initials="SR" w:date="2026-10-30T06:40:25Z">
    <w:p>
      <w:pPr>
        <w:pStyle w:val="CommentText"/>
      </w:pPr>
      <w:r>
        <w:rPr>
          <w:rStyle w:val="CommentReference"/>
        </w:rPr>
        <w:annotationRef/>
      </w:r>
      <w:r>
        <w:t>Historical base revenue is reported; future revenue and its product contribution bridge are Bernstein estimates.</w:t>
      </w:r>
    </w:p>
  </w:comment>
  <w:comment w:id="14" w:author="Source review" w:initials="SR" w:date="2026-10-30T06:40:25Z">
    <w:p>
      <w:pPr>
        <w:pStyle w:val="CommentText"/>
      </w:pPr>
      <w:r>
        <w:rPr>
          <w:rStyle w:val="CommentReference"/>
        </w:rPr>
        <w:annotationRef/>
      </w:r>
      <w:r>
        <w:t>Use the actual licensed vendor name from the source dataset when available. The chart covers September 2024 to September 2026, not twelve months. The Sun and Mankind lines also need legend labels. Abbott is below IPM for much of the period, not every month, so replace the constant-laggard chart annotation with precise wording.</w:t>
      </w:r>
    </w:p>
  </w:comment>
  <w:comment w:id="15" w:author="Source review" w:initials="SR" w:date="2026-10-30T06:40:25Z">
    <w:p>
      <w:pPr>
        <w:pStyle w:val="CommentText"/>
      </w:pPr>
      <w:r>
        <w:rPr>
          <w:rStyle w:val="CommentReference"/>
        </w:rPr>
        <w:annotationRef/>
      </w:r>
      <w:r>
        <w:t>Counts are the supplied CY24–CY26YTD sponsor screen, not independently reproduced registry totals. Preserve its search date, sponsor names and counting rules. The red dashed box surrounds Pfizer while the annotation discusses Abbott; correct the highlight. The total-count chart alone cannot establish that a majority of Abbott trials fall outside the listed entity.</w:t>
      </w:r>
    </w:p>
  </w:comment>
  <w:comment w:id="16" w:author="Source review" w:initials="SR" w:date="2026-10-30T06:40:25Z">
    <w:p>
      <w:pPr>
        <w:pStyle w:val="CommentText"/>
      </w:pPr>
      <w:r>
        <w:rPr>
          <w:rStyle w:val="CommentReference"/>
        </w:rPr>
        <w:annotationRef/>
      </w:r>
      <w:r>
        <w:t>The FY23 annual report records 10 introductions, whereas the plotted FY23 bar appears to show 11. The annual-report series is 10, 8, 7, 5. Correct the first bar before using the halved-since-FY23 statement.</w:t>
      </w:r>
    </w:p>
  </w:comment>
  <w:comment w:id="17" w:author="Source review" w:initials="SR" w:date="2026-10-30T06:40:25Z">
    <w:p>
      <w:pPr>
        <w:pStyle w:val="CommentText"/>
      </w:pPr>
      <w:r>
        <w:rPr>
          <w:rStyle w:val="CommentReference"/>
        </w:rPr>
        <w:annotationRef/>
      </w:r>
      <w:r>
        <w:t>The screenshots do not identify the retail-price database or capture date. Add the actual source and date from the pricing worksheet. Retain a common 10mg per-tablet basis across brands and reconcile discount percentages to the underlying prices; do not replace the source with an unverified e-pharmacy or NPPA reference.</w:t>
      </w:r>
    </w:p>
  </w:comment>
  <w:comment w:id="18" w:author="Source review" w:initials="SR" w:date="2026-10-30T06:40:25Z">
    <w:p>
      <w:pPr>
        <w:pStyle w:val="CommentText"/>
      </w:pPr>
      <w:r>
        <w:rPr>
          <w:rStyle w:val="CommentReference"/>
        </w:rPr>
        <w:annotationRef/>
      </w:r>
      <w:r>
        <w:t>Use the licensed data provider from the source dataset when available. The period is MAT December 2022 to MAT March 2025. Start the stacked-share axis at zero; a 10% minimum distorts the proportions. State value share and do not imply unit-share loss or a verified decline in absolute Duphaston sales.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hyperlink" Target="https://doi.org/10.1089/jamp.2015.1223" TargetMode="External"/><Relationship Id="rId11" Type="http://schemas.openxmlformats.org/officeDocument/2006/relationships/hyperlink" Target="https://mc-f369701d-1d3e-4dff-8bb0-9169-cm.azurewebsites.net/-/media/ciplamed/contentmigration/our-research/pdf/ciphaler-double-activation-napcon-jaipur.pdf" TargetMode="External"/><Relationship Id="rId12" Type="http://schemas.openxmlformats.org/officeDocument/2006/relationships/hyperlink" Target="https://doi.org/10.1038/npjpcrm.2016.79" TargetMode="External"/><Relationship Id="rId13" Type="http://schemas.openxmlformats.org/officeDocument/2006/relationships/hyperlink" Target="https://india-pharma.gsk.com/media/laujyk3a/gsk-q3fy26-analyst-meet-transcript.pdf" TargetMode="External"/><Relationship Id="rId14" Type="http://schemas.openxmlformats.org/officeDocument/2006/relationships/hyperlink" Target="https://www.gsk.com/en-gb/media/press-releases/dreamm-7-phase-iii-trial-shows-pfs-improvement-and-strong-os-trend-for-blenrep-combo-versus-soc-combo-in-multiple-myeloma/" TargetMode="External"/><Relationship Id="rId15" Type="http://schemas.openxmlformats.org/officeDocument/2006/relationships/hyperlink" Target="https://india-pharma.gsk.com/media/asmha1vh/gsk-q1-fy27-analyst-meet-transcript.pdf" TargetMode="External"/><Relationship Id="rId16" Type="http://schemas.openxmlformats.org/officeDocument/2006/relationships/hyperlink" Target="https://ctri.nic.in/" TargetMode="External"/><Relationship Id="rId17" Type="http://schemas.openxmlformats.org/officeDocument/2006/relationships/hyperlink" Target="https://www.abbott.co.in/investor-relations/financials/annual-repo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captions and sources</dc:title>
  <dc:subject>Ordered GSK India and Abbott India exhibit captions and source lines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