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47036" w:rsidRDefault="00547036" w:rsidP="00547036">
      <w:pPr>
        <w:pStyle w:val="NormalWeb"/>
      </w:pPr>
      <w:r>
        <w:rPr>
          <w:rStyle w:val="Strong"/>
        </w:rPr>
        <w:t>Broad global consumer health trends</w:t>
      </w:r>
    </w:p>
    <w:p w:rsidR="00547036" w:rsidRDefault="00547036" w:rsidP="00547036">
      <w:pPr>
        <w:pStyle w:val="NormalWeb"/>
      </w:pPr>
      <w:r>
        <w:t>Global consumer health is moving toward large disease-adjacent pools: metabolic health, healthy ageing, skin and aesthetics, women’s health, gut health, sleep, immunity and preventive care. The scale is already material. The global wellness economy was estimated at US$6.8tn in 2024, while OTC drugs and dietary supplements are around US$196bn and US$210bn markets respectively. The clinical backdrop is also supportive: 2.5bn adults globally are overweight, 890mn are obese, and 589mn adults live with diabetes. For biopharma, the implication is that consumer health is becoming more science-led, with better opportunities in Rx-adjacent products where efficacy, trust and medical credibility matter.</w:t>
      </w:r>
    </w:p>
    <w:p w:rsidR="00547036" w:rsidRDefault="00547036" w:rsidP="00547036">
      <w:pPr>
        <w:pStyle w:val="NormalWeb"/>
      </w:pPr>
      <w:r>
        <w:rPr>
          <w:rStyle w:val="Strong"/>
        </w:rPr>
        <w:t>How Indian biopharma is converting these trends into revenue strategies</w:t>
      </w:r>
    </w:p>
    <w:p w:rsidR="00547036" w:rsidRDefault="00547036" w:rsidP="00547036">
      <w:pPr>
        <w:pStyle w:val="NormalWeb"/>
      </w:pPr>
      <w:r>
        <w:t>Indian biopharma is responding by building higher-value franchises across chronic therapies, derma, nutrition, women’s health, metabolic adjacencies, complex dosage forms, biologics, sterile manufacturing and CDMO. The base is already large: India’s domestic pharma market is around US$60bn and is expected to reach US$130bn by 2030; exports were US$30.5bn in FY25, with formulations and biologics forming nearly 75% of exports. India also supplies roughly 20% of global generic medicines by volume. The revenue strategy is gradually shifting from adding more SKUs to owning patient conditions through HCP education, differentiated delivery, adherence support, regulatory reliability and export-led manufacturing depth.</w:t>
      </w:r>
    </w:p>
    <w:p w:rsidR="00547036" w:rsidRDefault="00547036" w:rsidP="00547036">
      <w:pPr>
        <w:pStyle w:val="NormalWeb"/>
      </w:pPr>
      <w:r>
        <w:rPr>
          <w:rStyle w:val="Strong"/>
        </w:rPr>
        <w:t>Impact of geopolitics and tariffs on long-term profitability</w:t>
      </w:r>
    </w:p>
    <w:p w:rsidR="00547036" w:rsidRDefault="00547036" w:rsidP="00547036">
      <w:pPr>
        <w:pStyle w:val="NormalWeb"/>
      </w:pPr>
      <w:r>
        <w:t>Geopolitics should be treated mainly as a margin, supply-chain and working-capital risk. Demand for medicines is relatively resilient, and India remains structurally important to global generics supply. The pressure points are procurement, compliance, inventory and sourcing costs. India’s pharma exports are around US$30.5bn, with regulated markets contributing roughly half of exports, while API, bulk drug and intermediate imports were around US$4.35bn in FY25. China still accounts for nearly 74% of that import basket. US tariffs, Section 232-style reviews, China-linked supply disruptions and conflict-led freight volatility can therefore create near-term margin pressure. Longer term, India should benefit from supply-chain diversification, but the transition will require buffers, alternate vendor qualification, capex and slower cost pass-through.</w:t>
      </w:r>
    </w:p>
    <w:p w:rsidR="00547036" w:rsidRDefault="00547036" w:rsidP="00547036">
      <w:pPr>
        <w:pStyle w:val="NormalWeb"/>
      </w:pPr>
      <w:r>
        <w:rPr>
          <w:rStyle w:val="Strong"/>
        </w:rPr>
        <w:t>Niche areas for volume-to-value transition</w:t>
      </w:r>
    </w:p>
    <w:p w:rsidR="00547036" w:rsidRDefault="00547036" w:rsidP="00547036">
      <w:pPr>
        <w:pStyle w:val="NormalWeb"/>
      </w:pPr>
      <w:r>
        <w:t>The strongest value migration for Indian biopharma sits in areas where process depth, regulatory credibility and supply assurance matter more than low-cost chemistry. These include peptides, complex injectables, sterile products, biosimilars, high-potency APIs, differentiated delivery, specialty derma, aesthetics, vaccines and regulated CDMO. The industry backdrop supports this shift. Global pharmaceutical contract manufacturing is estimated at around US$210bn in 2025 and is expected to reach US$312bn by 2030. Sterile injectable CDMO is expected to grow from around US$11bn in 2024 to US$34bn by 2034. Biosimilars are also becoming mainstream, with the global market around US$30–33bn in 2024 and more than 75 biosimilars approved by the US FDA by late 2025. These are the areas where India can move from low-cost capacity to trusted, higher-value capacity.</w:t>
      </w:r>
    </w:p>
    <w:p w:rsidR="00547036" w:rsidRDefault="00547036" w:rsidP="00547036">
      <w:pPr>
        <w:pStyle w:val="NormalWeb"/>
      </w:pPr>
      <w:r>
        <w:rPr>
          <w:rStyle w:val="Strong"/>
        </w:rPr>
        <w:lastRenderedPageBreak/>
        <w:t>GLP-1 opportunity and patient retention</w:t>
      </w:r>
    </w:p>
    <w:p w:rsidR="00547036" w:rsidRDefault="00547036" w:rsidP="00547036">
      <w:pPr>
        <w:pStyle w:val="NormalWeb"/>
      </w:pPr>
      <w:r>
        <w:t>Our / Bernstein view on India GLP-1 is not bullish. We expect the India market to peak at only INR 2.0–2.5bn, despite the global excitement around the category. Globally, the opportunity is large: GLP-1 and obesity drug forecasts often exceed US$100bn by 2030, supported by very high obesity, diabetes and cardiometabolic disease burden. India also has a large addressable pool, with around 101mn people living with diabetes and around 136mn with prediabetes. However, monetisation in India will be constrained by affordability, injectable adoption, chronic persistence, limited reimbursement and social perception. Obesity is still not widely viewed as a disease in India, so education has to lead treatment. With CDSCO closely watching promotional versus educational content, patient retention will depend on compliant HCP-led initiation, nutrition counselling, titration support, side-effect management, refill reliability and affordability, rather than aggressive consumer-led promotion.</w:t>
      </w:r>
    </w:p>
    <w:p w:rsidR="00202A57" w:rsidRDefault="00202A57">
      <w:pPr>
        <w:pStyle w:val="BodyText"/>
      </w:pPr>
    </w:p>
    <w:sectPr w:rsidR="00202A5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89221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42884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83EC6"/>
    <w:rsid w:val="00202A57"/>
    <w:rsid w:val="00547036"/>
    <w:rsid w:val="00F83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200B4D"/>
  <w15:docId w15:val="{096C3F00-EF8E-AC49-AE95-57C886C11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02A5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02A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407232">
      <w:bodyDiv w:val="1"/>
      <w:marLeft w:val="0"/>
      <w:marRight w:val="0"/>
      <w:marTop w:val="0"/>
      <w:marBottom w:val="0"/>
      <w:divBdr>
        <w:top w:val="none" w:sz="0" w:space="0" w:color="auto"/>
        <w:left w:val="none" w:sz="0" w:space="0" w:color="auto"/>
        <w:bottom w:val="none" w:sz="0" w:space="0" w:color="auto"/>
        <w:right w:val="none" w:sz="0" w:space="0" w:color="auto"/>
      </w:divBdr>
      <w:divsChild>
        <w:div w:id="727806721">
          <w:marLeft w:val="0"/>
          <w:marRight w:val="0"/>
          <w:marTop w:val="0"/>
          <w:marBottom w:val="0"/>
          <w:divBdr>
            <w:top w:val="none" w:sz="0" w:space="0" w:color="auto"/>
            <w:left w:val="none" w:sz="0" w:space="0" w:color="auto"/>
            <w:bottom w:val="none" w:sz="0" w:space="0" w:color="auto"/>
            <w:right w:val="none" w:sz="0" w:space="0" w:color="auto"/>
          </w:divBdr>
          <w:divsChild>
            <w:div w:id="142449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16941">
      <w:bodyDiv w:val="1"/>
      <w:marLeft w:val="0"/>
      <w:marRight w:val="0"/>
      <w:marTop w:val="0"/>
      <w:marBottom w:val="0"/>
      <w:divBdr>
        <w:top w:val="none" w:sz="0" w:space="0" w:color="auto"/>
        <w:left w:val="none" w:sz="0" w:space="0" w:color="auto"/>
        <w:bottom w:val="none" w:sz="0" w:space="0" w:color="auto"/>
        <w:right w:val="none" w:sz="0" w:space="0" w:color="auto"/>
      </w:divBdr>
      <w:divsChild>
        <w:div w:id="1373382361">
          <w:marLeft w:val="0"/>
          <w:marRight w:val="0"/>
          <w:marTop w:val="0"/>
          <w:marBottom w:val="0"/>
          <w:divBdr>
            <w:top w:val="none" w:sz="0" w:space="0" w:color="auto"/>
            <w:left w:val="none" w:sz="0" w:space="0" w:color="auto"/>
            <w:bottom w:val="none" w:sz="0" w:space="0" w:color="auto"/>
            <w:right w:val="none" w:sz="0" w:space="0" w:color="auto"/>
          </w:divBdr>
          <w:divsChild>
            <w:div w:id="628097209">
              <w:marLeft w:val="0"/>
              <w:marRight w:val="0"/>
              <w:marTop w:val="0"/>
              <w:marBottom w:val="0"/>
              <w:divBdr>
                <w:top w:val="none" w:sz="0" w:space="0" w:color="auto"/>
                <w:left w:val="none" w:sz="0" w:space="0" w:color="auto"/>
                <w:bottom w:val="none" w:sz="0" w:space="0" w:color="auto"/>
                <w:right w:val="none" w:sz="0" w:space="0" w:color="auto"/>
              </w:divBdr>
              <w:divsChild>
                <w:div w:id="171531828">
                  <w:marLeft w:val="0"/>
                  <w:marRight w:val="0"/>
                  <w:marTop w:val="0"/>
                  <w:marBottom w:val="0"/>
                  <w:divBdr>
                    <w:top w:val="none" w:sz="0" w:space="0" w:color="auto"/>
                    <w:left w:val="none" w:sz="0" w:space="0" w:color="auto"/>
                    <w:bottom w:val="none" w:sz="0" w:space="0" w:color="auto"/>
                    <w:right w:val="none" w:sz="0" w:space="0" w:color="auto"/>
                  </w:divBdr>
                  <w:divsChild>
                    <w:div w:id="803352616">
                      <w:marLeft w:val="0"/>
                      <w:marRight w:val="0"/>
                      <w:marTop w:val="0"/>
                      <w:marBottom w:val="0"/>
                      <w:divBdr>
                        <w:top w:val="none" w:sz="0" w:space="0" w:color="auto"/>
                        <w:left w:val="none" w:sz="0" w:space="0" w:color="auto"/>
                        <w:bottom w:val="none" w:sz="0" w:space="0" w:color="auto"/>
                        <w:right w:val="none" w:sz="0" w:space="0" w:color="auto"/>
                      </w:divBdr>
                      <w:divsChild>
                        <w:div w:id="1208177995">
                          <w:marLeft w:val="0"/>
                          <w:marRight w:val="0"/>
                          <w:marTop w:val="0"/>
                          <w:marBottom w:val="0"/>
                          <w:divBdr>
                            <w:top w:val="none" w:sz="0" w:space="0" w:color="auto"/>
                            <w:left w:val="none" w:sz="0" w:space="0" w:color="auto"/>
                            <w:bottom w:val="none" w:sz="0" w:space="0" w:color="auto"/>
                            <w:right w:val="none" w:sz="0" w:space="0" w:color="auto"/>
                          </w:divBdr>
                          <w:divsChild>
                            <w:div w:id="1993409031">
                              <w:marLeft w:val="0"/>
                              <w:marRight w:val="0"/>
                              <w:marTop w:val="0"/>
                              <w:marBottom w:val="0"/>
                              <w:divBdr>
                                <w:top w:val="none" w:sz="0" w:space="0" w:color="auto"/>
                                <w:left w:val="none" w:sz="0" w:space="0" w:color="auto"/>
                                <w:bottom w:val="none" w:sz="0" w:space="0" w:color="auto"/>
                                <w:right w:val="none" w:sz="0" w:space="0" w:color="auto"/>
                              </w:divBdr>
                              <w:divsChild>
                                <w:div w:id="710499331">
                                  <w:marLeft w:val="0"/>
                                  <w:marRight w:val="0"/>
                                  <w:marTop w:val="0"/>
                                  <w:marBottom w:val="0"/>
                                  <w:divBdr>
                                    <w:top w:val="none" w:sz="0" w:space="0" w:color="auto"/>
                                    <w:left w:val="none" w:sz="0" w:space="0" w:color="auto"/>
                                    <w:bottom w:val="none" w:sz="0" w:space="0" w:color="auto"/>
                                    <w:right w:val="none" w:sz="0" w:space="0" w:color="auto"/>
                                  </w:divBdr>
                                  <w:divsChild>
                                    <w:div w:id="6831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654</Words>
  <Characters>3734</Characters>
  <Application>Microsoft Office Word</Application>
  <DocSecurity>0</DocSecurity>
  <Lines>31</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Shirsh Sawarna</cp:lastModifiedBy>
  <cp:revision>3</cp:revision>
  <dcterms:created xsi:type="dcterms:W3CDTF">2026-06-23T10:48:00Z</dcterms:created>
  <dcterms:modified xsi:type="dcterms:W3CDTF">2026-06-23T11:49:00Z</dcterms:modified>
</cp:coreProperties>
</file>