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66E2" w:rsidRDefault="00000000">
      <w:pPr>
        <w:pStyle w:val="FirstParagraph"/>
      </w:pPr>
      <w:r>
        <w:t>We estimate Dr. Reddy’s US Revlimid sales at INR</w:t>
      </w:r>
      <w:r w:rsidR="00176F4A">
        <w:t xml:space="preserve"> </w:t>
      </w:r>
      <w:r>
        <w:t>6</w:t>
      </w:r>
      <w:r w:rsidR="00176F4A">
        <w:t>4</w:t>
      </w:r>
      <w:r>
        <w:t xml:space="preserve"> billion in FY25, </w:t>
      </w:r>
      <w:r w:rsidR="00176F4A">
        <w:t xml:space="preserve">which fell </w:t>
      </w:r>
      <w:r>
        <w:t>sharply to INR2</w:t>
      </w:r>
      <w:r w:rsidR="00176F4A">
        <w:t>2</w:t>
      </w:r>
      <w:r>
        <w:t xml:space="preserve"> in FY26 after the INR4.5 billion shelf-stock adjustment. The </w:t>
      </w:r>
      <w:r w:rsidR="00176F4A">
        <w:t>logic is</w:t>
      </w:r>
      <w:r>
        <w:t>: Dr. Reddy’s North America revenue declined from INR145.2 billion in FY25 to INR113.7 billion in FY26, and management directly attributed the decline largely to lower Revlimid sales and the product-related SSA. Even after excluding the SSA, North America revenue was down 19% YoY in FY26 and 38% YoY in Q4, confirming that this was a structural Revlimid cliff.</w:t>
      </w:r>
      <w:r w:rsidR="00176F4A">
        <w:t xml:space="preserve"> The Management also mentioned negligible revenues in FY26 Q4 from it. </w:t>
      </w:r>
    </w:p>
    <w:p w:rsidR="00F866E2" w:rsidRDefault="00000000">
      <w:pPr>
        <w:pStyle w:val="BodyText"/>
      </w:pPr>
      <w:r>
        <w:t>For Zydus, Revlimid was much smaller. We estimate FY26 sales at best around INR10 to 11 billion</w:t>
      </w:r>
      <w:r w:rsidR="00176F4A">
        <w:t xml:space="preserve"> (vs in our model which we have assumed 8 Bn)</w:t>
      </w:r>
      <w:r>
        <w:t xml:space="preserve">. </w:t>
      </w:r>
      <w:r w:rsidR="00176F4A">
        <w:t xml:space="preserve">If we were to test the hypothesis that the 20% of Company’s PAT, which is ~INR 10 Bn came from Revlimid, at a 33% PAT Margin it would give a sale of </w:t>
      </w:r>
      <w:r>
        <w:t>US$</w:t>
      </w:r>
      <w:r w:rsidR="00176F4A">
        <w:t>300</w:t>
      </w:r>
      <w:r>
        <w:t xml:space="preserve"> to </w:t>
      </w:r>
      <w:r w:rsidR="00176F4A">
        <w:t>350</w:t>
      </w:r>
      <w:r>
        <w:t xml:space="preserve"> million </w:t>
      </w:r>
      <w:r w:rsidR="00176F4A">
        <w:t xml:space="preserve">(~INR 30 Bn) </w:t>
      </w:r>
      <w:r>
        <w:t>which is not plausible against Zydus’s total FY26 North America formulations revenue of INR116.8 billion</w:t>
      </w:r>
      <w:r w:rsidR="00176F4A">
        <w:t xml:space="preserve"> (Which Includes large products such as Mirabegron).</w:t>
      </w:r>
      <w:r>
        <w:t xml:space="preserve"> </w:t>
      </w:r>
      <w:r w:rsidR="00176F4A">
        <w:t>M</w:t>
      </w:r>
      <w:r>
        <w:t xml:space="preserve">anagement commentary </w:t>
      </w:r>
      <w:r w:rsidR="00176F4A">
        <w:t xml:space="preserve">also said </w:t>
      </w:r>
      <w:r>
        <w:t>that Revlimid had already become a very small contributor by Q3 FY26, with very little contribution in Q4. Our initiation model already assumes FY26 Revlimid sales of INR8 billion; hence, even if the actual number is INR10 to 11 billion, the delta is only INR2 to 3 billion and does not change our earnings bridge or valuation thesis.</w:t>
      </w:r>
    </w:p>
    <w:sectPr w:rsidR="00F866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A42EB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1173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6E2"/>
    <w:rsid w:val="00176F4A"/>
    <w:rsid w:val="00F8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58DC7"/>
  <w15:docId w15:val="{8271C675-7F38-1042-A272-D959F6A4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Shirsh Sawarna</cp:lastModifiedBy>
  <cp:revision>2</cp:revision>
  <dcterms:created xsi:type="dcterms:W3CDTF">2026-07-01T10:39:00Z</dcterms:created>
  <dcterms:modified xsi:type="dcterms:W3CDTF">2026-07-01T10:46:00Z</dcterms:modified>
</cp:coreProperties>
</file>