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Sun Pharma: Brazil approvals broaden semaglutide exposure; execution now determines value</w:t>
      </w:r>
    </w:p>
    <w:p>
      <w:pPr>
        <w:pStyle w:val="BodyText"/>
      </w:pPr>
      <w:r>
        <w:t xml:space="preserve">Brazil’s Anvisa on 29 July granted marketing registrations to five injectable products containing synthetically manufactured semaglutide—Owozy, Seemasun, Zempneo, Semavy and Orsema—creating a broader-than-expected opportunity for Sun Pharma following the expiry of Novo Nordisk’s principal Brazilian semaglutide patent on 20 March 2026. Sun has direct branded exposure to two of the five registrations: Seemasun is registered within the Sun Pharma organisation, while Orsema is registered through Ranbaxy, which is owned by Sun. A third product, Semavy, is registered by Cosmed, a subsidiary of Brazilian pharmaceutical company Hypera Pharma, and will be commercialised through Hypera’s Mantecorp franchise; however, local reports indicate that Sun will manufacture the product in India. Semavy should therefore generate manufacturing and supply economics for Sun, but it is not a Sun-owned brand and Hypera will retain the customer relationship and most of the downstream commercial value. Zempneo is also registered by a Hypera subsidiary, Brainfarma, although Hypera reportedly does not initially intend to launch it, while Owozy is registered by Ávita Care and is expected to be commercialised through Sandoz. The five approvals follow Anvisa’s review of clinical comparisons with Ozempic, manufacturing inspections and product-quality documentation and take the total number of approved synthetic-semaglutide products in Brazil to six, including EMS’s Ozivy, approved in May.</w:t>
      </w:r>
    </w:p>
    <w:p>
      <w:pPr>
        <w:pStyle w:val="BodyText"/>
      </w:pPr>
      <w:r>
        <w:t xml:space="preserve">The approvals are final product registrations rather than immediate commercial launches. Based on the prescribing information disclosed to date, the products are injectable semaglutide formulations approved for adults with inadequately controlled type-2 diabetes, including patients unable to use metformin; we have not identified evidence that Seemasun, Orsema or Semavy has received a separate chronic-weight-management indication. This distinction is commercially important because obesity currently represents most of Brazil’s semaglutide market value, while the new entrants’ on-label opportunity is initially concentrated in diabetes. Each company must also obtain an approved maximum price from Brazil’s CMED pricing authority, manufacture or import launch inventory, secure pen supply and establish pharmacy distribution before sales can begin. Sun has not yet disclosed Seemasun or Orsema pricing, approved strengths, device configuration, commercial capacity or launch timing. We therefore see the approvals as enabling Sun’s participation in the market, rather than confirming near-term revenue. Sun’s effective exposure is nevertheless broader than that of most entrants: it controls two brands directly and participates as a manufacturer in a third, providing multiple routes to capture value if the products are launched with reliable supply.</w:t>
      </w:r>
    </w:p>
    <w:p>
      <w:pPr>
        <w:pStyle w:val="BodyText"/>
      </w:pPr>
      <w:r>
        <w:t xml:space="preserve">Brazil’s commercial GLP-1 market is already meaningful. Pharmacy-channel sales of Mounjaro, Wegovy and Ozempic reached approximately</w:t>
      </w:r>
      <w:r>
        <w:t xml:space="preserve"> </w:t>
      </w:r>
      <w:r>
        <w:rPr>
          <w:b/>
          <w:bCs/>
        </w:rPr>
        <w:t xml:space="preserve">US$2.61bn</w:t>
      </w:r>
      <w:r>
        <w:t xml:space="preserve"> </w:t>
      </w:r>
      <w:r>
        <w:t xml:space="preserve">during the 12 months to May 2026, based on Close-Up International data translated at 5.10 local currency units per US dollar. Mounjaro generated approximately</w:t>
      </w:r>
      <w:r>
        <w:t xml:space="preserve"> </w:t>
      </w:r>
      <w:r>
        <w:rPr>
          <w:b/>
          <w:bCs/>
        </w:rPr>
        <w:t xml:space="preserve">US$1.67bn</w:t>
      </w:r>
      <w:r>
        <w:t xml:space="preserve">, Wegovy approximately</w:t>
      </w:r>
      <w:r>
        <w:t xml:space="preserve"> </w:t>
      </w:r>
      <w:r>
        <w:rPr>
          <w:b/>
          <w:bCs/>
        </w:rPr>
        <w:t xml:space="preserve">US$735mn</w:t>
      </w:r>
      <w:r>
        <w:t xml:space="preserve"> </w:t>
      </w:r>
      <w:r>
        <w:t xml:space="preserve">and Ozempic approximately</w:t>
      </w:r>
      <w:r>
        <w:t xml:space="preserve"> </w:t>
      </w:r>
      <w:r>
        <w:rPr>
          <w:b/>
          <w:bCs/>
        </w:rPr>
        <w:t xml:space="preserve">US$216mn</w:t>
      </w:r>
      <w:r>
        <w:t xml:space="preserve">. The current semaglutide market represented by Wegovy and Ozempic is therefore approximately</w:t>
      </w:r>
      <w:r>
        <w:t xml:space="preserve"> </w:t>
      </w:r>
      <w:r>
        <w:rPr>
          <w:b/>
          <w:bCs/>
        </w:rPr>
        <w:t xml:space="preserve">US$951mn</w:t>
      </w:r>
      <w:r>
        <w:t xml:space="preserve">, while the wider category, including Lilly’s tirzepatide, is substantially larger. We estimate that Seemasun, Orsema and Semavy could together capture approximately</w:t>
      </w:r>
      <w:r>
        <w:t xml:space="preserve"> </w:t>
      </w:r>
      <w:r>
        <w:rPr>
          <w:b/>
          <w:bCs/>
        </w:rPr>
        <w:t xml:space="preserve">22–25% of Brazilian semaglutide volumes at maturity</w:t>
      </w:r>
      <w:r>
        <w:t xml:space="preserve">, supported by Sun’s existing Brazilian infrastructure, Hypera’s physician and pharmacy access and the ability to serve the market through three brands. Applying that share range to the current semaglutide market would imply approximately</w:t>
      </w:r>
      <w:r>
        <w:t xml:space="preserve"> </w:t>
      </w:r>
      <w:r>
        <w:rPr>
          <w:b/>
          <w:bCs/>
        </w:rPr>
        <w:t xml:space="preserve">US$210–238mn of annual gross retail sales associated with Sun-linked products</w:t>
      </w:r>
      <w:r>
        <w:t xml:space="preserve">. This is not equivalent to Sun’s reported revenue: Sun should recognise the branded commercial economics from Seemasun and Orsema, subject to distributor deductions, but only manufacturing or supply revenue from Semavy. Moreover, the estimate assumes that the portfolio ultimately competes across the broader semaglutide category. Under the currently disclosed diabetes indication, the immediate on-label addressable market is closer to Ozempic’s approximately</w:t>
      </w:r>
      <w:r>
        <w:t xml:space="preserve"> </w:t>
      </w:r>
      <w:r>
        <w:rPr>
          <w:b/>
          <w:bCs/>
        </w:rPr>
        <w:t xml:space="preserve">US$216mn</w:t>
      </w:r>
      <w:r>
        <w:t xml:space="preserve"> </w:t>
      </w:r>
      <w:r>
        <w:t xml:space="preserve">annual sales base; capturing a 22–25% share of the entire semaglutide market would probably require strong off-label demand, subsequent obesity approvals or continued market expansion.</w:t>
      </w:r>
    </w:p>
    <w:p>
      <w:pPr>
        <w:pStyle w:val="BodyText"/>
      </w:pPr>
      <w:r>
        <w:t xml:space="preserve">Sun does not have a first-mover advantage. EMS launched Ozivy on 15 June and has priced the product at approximately</w:t>
      </w:r>
      <w:r>
        <w:t xml:space="preserve"> </w:t>
      </w:r>
      <w:r>
        <w:rPr>
          <w:b/>
          <w:bCs/>
        </w:rPr>
        <w:t xml:space="preserve">US$89–98 per pen</w:t>
      </w:r>
      <w:r>
        <w:t xml:space="preserve">, with an introductory patient-programme cost of roughly</w:t>
      </w:r>
      <w:r>
        <w:t xml:space="preserve"> </w:t>
      </w:r>
      <w:r>
        <w:rPr>
          <w:b/>
          <w:bCs/>
        </w:rPr>
        <w:t xml:space="preserve">US$56 per month</w:t>
      </w:r>
      <w:r>
        <w:t xml:space="preserve"> </w:t>
      </w:r>
      <w:r>
        <w:t xml:space="preserve">during the first three months. This establishes a low reference price before Sun, Hypera or Sandoz enters and suggests that competition will focus on affordability, availability and physician confidence rather than molecule differentiation. Novo Nordisk retains strong recognition through Ozempic and Wegovy and has responded to patent expiry with price reductions and expanded distribution, while Lilly’s Mounjaro is already the category leader despite using a different molecule. Further semaglutide products from Biomm/Biocon and other applicants could add additional pricing pressure. Device availability remains another potential constraint: injectable semaglutide requires peptide manufacturing, sterile fill-finish and consistent pen supply, which should prevent pricing from falling as rapidly as in conventional oral generics but could delay launches or constrain volumes.</w:t>
      </w:r>
    </w:p>
    <w:p>
      <w:pPr>
        <w:pStyle w:val="BodyText"/>
      </w:pPr>
      <w:r>
        <w:t xml:space="preserve">For Sun, the approval is strategically relevant but unlikely to materially change near-term consolidated earnings. Emerging Markets generated approximately</w:t>
      </w:r>
      <w:r>
        <w:t xml:space="preserve"> </w:t>
      </w:r>
      <w:r>
        <w:rPr>
          <w:b/>
          <w:bCs/>
        </w:rPr>
        <w:t xml:space="preserve">US$1.27bn</w:t>
      </w:r>
      <w:r>
        <w:t xml:space="preserve"> </w:t>
      </w:r>
      <w:r>
        <w:t xml:space="preserve">of FY26 revenue, and Brazil is an established Sun market with local sales and distribution capabilities. Semaglutide could become a meaningful contributor to Sun’s Brazilian franchise, but the revenue opportunity remains contingent on CMED pricing, launch dates, available capacity, pen supply, physician adoption and the split of volumes among Seemasun, Orsema and Semavy. The direct Sun brands should carry better economics than the Semavy supply arrangement, although gross margins could be constrained by launch discounts, pharmacy and distributor margins and promotional expenditure. Upside to our 22–25% Sun-linked share expectation would come from rapid launch execution, reliable supply, differentiated patient-access programmes and approval for obesity. Downside comes from delayed commercialisation, aggressive pricing by EMS and Novo, duplication between Sun’s two brands and lower-than-expected physician adoption. We see the approvals as incrementally positive and supportive of Sun’s strategy to build a multi-market synthetic-semaglutide platform, but we would not materially change near-term estimates until pricing, launch inventory and initial prescription trends become visible.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