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 petitions: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Habeas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Corpus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 have a body of"&gt;: If any person was arrested and the gov./police couldn't show the person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front of their concerned ones.. then they can apply for </w:t>
      </w:r>
      <w:r w:rsidDel="00000000" w:rsidR="00000000" w:rsidRPr="00000000">
        <w:rPr>
          <w:rtl w:val="0"/>
        </w:rPr>
        <w:t xml:space="preserve">habeas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corpus. The court then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orders to present the person in front of court before 24 hrs. Lately court also decided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in case of any  unlawful detention would also come under this writ.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Mandamus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&lt;"We Command"&gt;: It is a </w:t>
      </w:r>
      <w:r w:rsidDel="00000000" w:rsidR="00000000" w:rsidRPr="00000000">
        <w:rPr>
          <w:rtl w:val="0"/>
        </w:rPr>
        <w:t xml:space="preserve">judicial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remedy in the form of an order from a court to any gov.,</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subordinate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court, corporation or public authority to do some specific act which </w:t>
      </w:r>
      <w:r w:rsidDel="00000000" w:rsidR="00000000" w:rsidRPr="00000000">
        <w:rPr>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body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obliged to do.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Quo Warranto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&lt;"By what warrant"&gt;: Through this warit, the court calls upon a person holding a public</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office to show under what authority he holds that office. if it is found that the person is not entitled to hold that office, he may be ousted from it. It can't be issued in respect </w:t>
      </w:r>
      <w:r w:rsidDel="00000000" w:rsidR="00000000" w:rsidRPr="00000000">
        <w:rPr>
          <w:rtl w:val="0"/>
        </w:rPr>
        <w:t xml:space="preserve">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private office.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Certiorari</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&lt;"to certify"&gt;: When the </w:t>
      </w:r>
      <w:r w:rsidDel="00000000" w:rsidR="00000000" w:rsidRPr="00000000">
        <w:rPr>
          <w:rtl w:val="0"/>
        </w:rPr>
        <w:t xml:space="preserve">lower court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a tribunal has passed an order which is beyond its </w:t>
      </w:r>
      <w:r w:rsidDel="00000000" w:rsidR="00000000" w:rsidRPr="00000000">
        <w:rPr>
          <w:rtl w:val="0"/>
        </w:rPr>
        <w:t xml:space="preserve">powers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t>
      </w:r>
      <w:r w:rsidDel="00000000" w:rsidR="00000000" w:rsidRPr="00000000">
        <w:rPr>
          <w:rtl w:val="0"/>
        </w:rPr>
        <w:t xml:space="preserve">committed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error of law then, through the writ of certiorari, the higher court may transfer the ase to itself or quash the order passed by the </w:t>
      </w:r>
      <w:r w:rsidDel="00000000" w:rsidR="00000000" w:rsidRPr="00000000">
        <w:rPr>
          <w:rtl w:val="0"/>
        </w:rPr>
        <w:t xml:space="preserve">lower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court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tribunal.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Prohibition: A writ of prohibition is issued by a Court to prohibit the lower courts,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tribunals and other quasi-judicial authorities from doing something beyond their authority.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issued to direct inactivity and thus differs from mandamus which directs activity.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writ of certiorari is issued after the case is heard and decided. It is issued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quash the decision or order of the lower court when the lower court passed an order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or in excess of jurisdiction. Whereas, the writ of prohibition is issued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prohibiting the proceedings in the lower court which acts without or in excess of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jurisdiction while the case is pending before it.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