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Expérience de pensée sur l’émergence des univers</w:t>
      </w:r>
    </w:p>
    <w:p>
      <w:r>
        <w:rPr>
          <w:b w:val="0"/>
        </w:rPr>
        <w:t>Je propose d’explorer l’idée suivante : notre univers pourrait être un régime durable d’une réalité physique plus fondamentale. Ses propriétés observables dépendraient de la configuration de cette réalité. D’autres configurations pourraient donner naissance à d’autres domaines cosmologiques et, si une interaction les relie, contribuer à de nouvelles transformations.</w:t>
      </w:r>
    </w:p>
    <w:p>
      <w:r>
        <w:rPr>
          <w:b/>
        </w:rPr>
        <w:t>La question qui guide cette expérience de pensée est donc la suivante : un épisode de type Big Bang pourrait-il correspondre à la formation d’un domaine cosmologique à partir d’une transition physique plus fondamentale ?</w:t>
      </w:r>
    </w:p>
    <w:p>
      <w:r>
        <w:rPr>
          <w:b w:val="0"/>
        </w:rPr>
        <w:t xml:space="preserve">J’appelle ici « univers » le domaine d’espace-temps et l’histoire qui se développent à partir d’un épisode de type Big Bang. Notre univers désigne ainsi notre « après-Big Bang », avec sa matière, son évolution et ses propriétés physiques. Le modèle du Big Bang chaud décrit une évolution depuis un état très chaud et dense ; l’origine absolue de l’espace-temps reste une question ouverte. </w:t>
      </w:r>
      <w:hyperlink r:id="rId9">
        <w:r>
          <w:rPr>
            <w:color w:val="254C6B"/>
            <w:u w:val="single"/>
          </w:rPr>
          <w:t>Repère cosmologique — NASA</w:t>
        </w:r>
      </w:hyperlink>
      <w:r>
        <w:rPr>
          <w:b w:val="0"/>
        </w:rPr>
      </w:r>
    </w:p>
    <w:p>
      <w:r>
        <w:rPr>
          <w:b w:val="0"/>
        </w:rPr>
        <w:t xml:space="preserve">Mon point de départ théorique est la possibilité que certaines constantes expriment l’état de champs plus fondamentaux. La relativité intriquée en fournit un exemple : dans la formulation étudiée par Olivier Minazzoli, la constante gravitationnelle G et la constante de Planck réduite ℏ dépendent d’un degré de liberté gravitationnel scalaire et leurs variations sont liées. Cette proposition théorique motive mon raisonnement ; elle ne constitue pas une confirmation expérimentale de mon scénario. </w:t>
      </w:r>
      <w:hyperlink r:id="rId10">
        <w:r>
          <w:rPr>
            <w:color w:val="254C6B"/>
            <w:u w:val="single"/>
          </w:rPr>
          <w:t>Minazzoli — Quantum of action in entangled relativity</w:t>
        </w:r>
      </w:hyperlink>
      <w:r>
        <w:rPr>
          <w:b w:val="0"/>
        </w:rPr>
      </w:r>
    </w:p>
    <w:p>
      <w:r>
        <w:rPr>
          <w:b w:val="0"/>
        </w:rPr>
        <w:t xml:space="preserve">Dans cette perspective, les constantes ne se rencontreraient pas comme des objets indépendants. Une configuration commune de matière, de géométrie et de champs déterminerait leurs valeurs effectives et les relations entre elles. Une différence physique devrait se traduire par des observations comparables, notamment par des rapports sans dimension, afin de distinguer une variation réelle d’un simple changement d’unités. </w:t>
      </w:r>
      <w:hyperlink r:id="rId11">
        <w:r>
          <w:rPr>
            <w:color w:val="254C6B"/>
            <w:u w:val="single"/>
          </w:rPr>
          <w:t>Duff — How fundamental are fundamental constants</w:t>
        </w:r>
      </w:hyperlink>
      <w:r>
        <w:rPr>
          <w:b w:val="0"/>
        </w:rPr>
      </w:r>
    </w:p>
    <w:p>
      <w:r>
        <w:rPr>
          <w:b w:val="0"/>
        </w:rPr>
        <w:t xml:space="preserve">Le terme « intriquée » désigne ici le lien entre matière et courbure dans l’action de la théorie. Il ne désigne pas l’intrication quantique et ne relie donc pas directement cette théorie aux mondes multiples d’Everett. L’existence de plusieurs domaines et leur interaction sont les hypothèses supplémentaires que j’introduis. </w:t>
      </w:r>
      <w:hyperlink r:id="rId12">
        <w:r>
          <w:rPr>
            <w:color w:val="254C6B"/>
            <w:u w:val="single"/>
          </w:rPr>
          <w:t>Minazzoli, Wavasseur et Chehab — Deriving Entangled Relativity</w:t>
        </w:r>
      </w:hyperlink>
      <w:r>
        <w:rPr>
          <w:b w:val="0"/>
        </w:rPr>
      </w:r>
    </w:p>
    <w:p>
      <w:r>
        <w:rPr>
          <w:b w:val="0"/>
        </w:rPr>
        <w:t>Pour poser le cadre, je suppose qu’une même dynamique admet plusieurs configurations physiques accessibles. Je suppose aussi que certaines de ces configurations sont effectivement réalisées et peuvent soutenir des domaines durables. Cette réalisation est un postulat : une possibilité mathématique ne suffit pas à établir une existence physique. Je n’ai pas besoin de supposer que toutes les configurations possibles existent.</w:t>
      </w:r>
    </w:p>
    <w:p>
      <w:r>
        <w:rPr>
          <w:b w:val="0"/>
        </w:rPr>
        <w:t>J’ajoute à cette dynamique un potentiel organisant les configurations, leurs états privilégiés et les barrières entre certains états. Ce potentiel reste à définir. Il sert ici à formuler l’expérience de pensée et ne fournit encore ni calcul de stabilité ni probabilité d’apparition. J’ajoute séparément un couplage : dans certaines conditions, l’état d’un domaine peut modifier l’évolution d’un autre, par l’intermédiaire de degrés de liberté communs.</w:t>
      </w:r>
    </w:p>
    <w:p>
      <w:r>
        <w:rPr>
          <w:b w:val="0"/>
        </w:rPr>
        <w:t>Je peux alors dérouler le scénario suivant.</w:t>
      </w:r>
    </w:p>
    <w:p>
      <w:pPr>
        <w:keepNext/>
      </w:pPr>
      <w:r>
        <w:rPr>
          <w:b/>
        </w:rPr>
        <w:t>1. Deux domaines se constituent.</w:t>
      </w:r>
    </w:p>
    <w:p>
      <w:r>
        <w:rPr>
          <w:b w:val="0"/>
        </w:rPr>
        <w:t>Supposons que deux configurations accessibles donnent chacune naissance à un domaine cosmologique, A et B, à partir de leur épisode de type Big Bang. A représente notre univers ; B possède d’autres propriétés effectives, compatibles avec la dynamique commune. Ce qui les distingue est leur configuration physique et leur histoire. Il n’est pas nécessaire que B contienne des galaxies, du vivant ou des observateurs comparables aux nôtres.</w:t>
      </w:r>
    </w:p>
    <w:p>
      <w:pPr>
        <w:keepNext/>
      </w:pPr>
      <w:r>
        <w:rPr>
          <w:b/>
        </w:rPr>
        <w:t>2. Leur formation et leur persistance dépendent de conditions différentes.</w:t>
      </w:r>
    </w:p>
    <w:p>
      <w:r>
        <w:rPr>
          <w:b w:val="0"/>
        </w:rPr>
        <w:t>A peut être difficile à former et durer très longtemps. B peut apparaître plus facilement et se transformer rapidement. Dans mon hypothèse, une même dynamique relie l’accessibilité, les conditions de formation et la stabilité, sans rendre ces notions équivalentes. Un domaine peut aussi être métastable : il persiste malgré de petites perturbations, tout en restant susceptible de passer vers un autre état. Sa durée ne suppose donc pas une stabilité absolue.</w:t>
      </w:r>
    </w:p>
    <w:p>
      <w:pPr>
        <w:keepNext/>
      </w:pPr>
      <w:r>
        <w:rPr>
          <w:b/>
        </w:rPr>
        <w:t>3. A et B peuvent évoluer de façon presque autonome.</w:t>
      </w:r>
    </w:p>
    <w:p>
      <w:r>
        <w:rPr>
          <w:b w:val="0"/>
        </w:rPr>
        <w:t>Lorsque leur influence mutuelle est négligeable, chaque domaine suit approximativement sa propre évolution. Un observateur de A pourrait alors décrire son environnement sans avoir accès à B. Les deux domaines appartiennent, par construction, à une réalité physique commune ; leur autonomie est celle de régimes cosmologiques distincts. Je ne les définis pas comme des totalités absolument séparées, puisque j’explore précisément la possibilité d’une interaction.</w:t>
      </w:r>
    </w:p>
    <w:p>
      <w:pPr>
        <w:keepNext/>
      </w:pPr>
      <w:r>
        <w:rPr>
          <w:b/>
        </w:rPr>
        <w:t>4. Une interaction peut modifier les conditions de stabilité.</w:t>
      </w:r>
    </w:p>
    <w:p>
      <w:r>
        <w:rPr>
          <w:b w:val="0"/>
        </w:rPr>
        <w:t>Comparons maintenant cette situation à une autre où le couplage a un effet appréciable. Une modification des champs associés à B pourrait changer les conditions d’évolution de A, ou inversement. C’est le sens physique que je donne à l’idée de « rencontre » ou de « chevauchement » : une influence effective entre domaines. Une proximité sur une carte abstraite des configurations ne suffit pas. Plusieurs domaines pourraient contribuer à une perturbation collective si la structure commune permet leurs influences conjointes.</w:t>
      </w:r>
    </w:p>
    <w:p>
      <w:pPr>
        <w:keepNext/>
      </w:pPr>
      <w:r>
        <w:rPr>
          <w:b/>
        </w:rPr>
        <w:t>5. Une transition peut devenir possible.</w:t>
      </w:r>
    </w:p>
    <w:p>
      <w:r>
        <w:rPr>
          <w:b w:val="0"/>
        </w:rPr>
        <w:t>Cette perturbation pourrait favoriser le passage vers un autre régime. Elle pourrait aussi rester sans effet majeur ou renforcer la stabilité : le résultat dépendrait de la dynamique choisie. Je n’impose donc pas qu’une multiplication des domaines provoque une instabilité. Une transition pourrait également se produire sous l’effet de la dynamique interne d’un domaine, sans intervention d’un autre.</w:t>
      </w:r>
    </w:p>
    <w:p>
      <w:pPr>
        <w:keepNext/>
      </w:pPr>
      <w:r>
        <w:rPr>
          <w:b/>
        </w:rPr>
        <w:t>6. Le lien avec un nouveau Big Bang devient la question à examiner.</w:t>
      </w:r>
    </w:p>
    <w:p>
      <w:r>
        <w:rPr>
          <w:b w:val="0"/>
        </w:rPr>
        <w:t>Parmi les transitions envisageables, je demande si certaines pourraient former un nouveau domaine C, capable de développer un espace-temps en expansion et une phase chaude et dense. L’histoire qui suivrait constituerait alors un nouvel univers au sens retenu ici. Une simple modification de A ne suffit pas à créer C. Il faudrait expliquer la formation du nouveau domaine et retrouver les propriétés cosmologiques pertinentes. L’interprétation de la transition comme un épisode de type Big Bang reste donc une possibilité explorée, et non une conséquence déjà démontrée.</w:t>
      </w:r>
    </w:p>
    <w:p>
      <w:r>
        <w:rPr>
          <w:b w:val="0"/>
        </w:rPr>
        <w:t>Cette lecture conserve l’intuition de mon échelle initiale, mais la remplace par des situations qualitatives. Les nombres 0,1, 0,5, 0,9 et 1 n’étaient associés ni à une mesure ni à un événement probabiliste défini. Ils ne permettent donc pas de déduire un nombre d’univers ou un seuil de transformation.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120"/>
      </w:tblGrid>
      <w:tr>
        <w:trPr>
          <w:cantSplit/>
          <w:tblHeader/>
        </w:trPr>
        <w:tc>
          <w:tcPr>
            <w:tcW w:type="dxa" w:w="3672"/>
            <w:shd w:fill="E7EDF2"/>
            <w:tcMar>
              <w:top w:w="100" w:type="dxa"/>
              <w:left w:w="100" w:type="dxa"/>
              <w:bottom w:w="100" w:type="dxa"/>
              <w:right w:w="100" w:type="dxa"/>
            </w:tcMar>
            <w:vAlign w:val="center"/>
          </w:tcPr>
          <w:p>
            <w:pPr>
              <w:spacing w:after="0" w:line="252" w:lineRule="auto"/>
            </w:pPr>
            <w:r>
              <w:rPr>
                <w:b/>
                <w:sz w:val="21"/>
              </w:rPr>
              <w:t>Situation envisagée</w:t>
            </w:r>
          </w:p>
        </w:tc>
        <w:tc>
          <w:tcPr>
            <w:tcW w:type="dxa" w:w="6120"/>
            <w:shd w:fill="E7EDF2"/>
            <w:tcMar>
              <w:top w:w="100" w:type="dxa"/>
              <w:left w:w="100" w:type="dxa"/>
              <w:bottom w:w="100" w:type="dxa"/>
              <w:right w:w="100" w:type="dxa"/>
            </w:tcMar>
            <w:vAlign w:val="center"/>
          </w:tcPr>
          <w:p>
            <w:pPr>
              <w:spacing w:after="0" w:line="252" w:lineRule="auto"/>
            </w:pPr>
            <w:r>
              <w:rPr>
                <w:b/>
                <w:sz w:val="21"/>
              </w:rPr>
              <w:t>Ce qu’elle permet de discuter</w:t>
            </w:r>
          </w:p>
        </w:tc>
      </w:tr>
      <w:tr>
        <w:trPr>
          <w:cantSplit/>
        </w:trPr>
        <w:tc>
          <w:tcPr>
            <w:tcW w:type="dxa" w:w="3672"/>
            <w:shd w:fill="FFFFFF"/>
            <w:tcMar>
              <w:top w:w="100" w:type="dxa"/>
              <w:left w:w="100" w:type="dxa"/>
              <w:bottom w:w="100" w:type="dxa"/>
              <w:right w:w="100" w:type="dxa"/>
            </w:tcMar>
            <w:vAlign w:val="center"/>
          </w:tcPr>
          <w:p>
            <w:pPr>
              <w:spacing w:after="0" w:line="252" w:lineRule="auto"/>
            </w:pPr>
            <w:r>
              <w:rPr>
                <w:b w:val="0"/>
                <w:sz w:val="21"/>
              </w:rPr>
              <w:t>Formation rare et longue persistance</w:t>
            </w:r>
          </w:p>
        </w:tc>
        <w:tc>
          <w:tcPr>
            <w:tcW w:type="dxa" w:w="6120"/>
            <w:shd w:fill="FFFFFF"/>
            <w:tcMar>
              <w:top w:w="100" w:type="dxa"/>
              <w:left w:w="100" w:type="dxa"/>
              <w:bottom w:w="100" w:type="dxa"/>
              <w:right w:w="100" w:type="dxa"/>
            </w:tcMar>
            <w:vAlign w:val="center"/>
          </w:tcPr>
          <w:p>
            <w:pPr>
              <w:spacing w:after="0" w:line="252" w:lineRule="auto"/>
            </w:pPr>
            <w:r>
              <w:rPr>
                <w:b w:val="0"/>
                <w:sz w:val="21"/>
              </w:rPr>
              <w:t>Des domaines durables malgré des conditions de formation difficiles.</w:t>
            </w:r>
          </w:p>
        </w:tc>
      </w:tr>
      <w:tr>
        <w:trPr>
          <w:cantSplit/>
        </w:trPr>
        <w:tc>
          <w:tcPr>
            <w:tcW w:type="dxa" w:w="3672"/>
            <w:shd w:fill="FFFFFF"/>
            <w:tcMar>
              <w:top w:w="100" w:type="dxa"/>
              <w:left w:w="100" w:type="dxa"/>
              <w:bottom w:w="100" w:type="dxa"/>
              <w:right w:w="100" w:type="dxa"/>
            </w:tcMar>
            <w:vAlign w:val="center"/>
          </w:tcPr>
          <w:p>
            <w:pPr>
              <w:spacing w:after="0" w:line="252" w:lineRule="auto"/>
            </w:pPr>
            <w:r>
              <w:rPr>
                <w:b w:val="0"/>
                <w:sz w:val="21"/>
              </w:rPr>
              <w:t>Formation fréquente et courte persistance</w:t>
            </w:r>
          </w:p>
        </w:tc>
        <w:tc>
          <w:tcPr>
            <w:tcW w:type="dxa" w:w="6120"/>
            <w:shd w:fill="FFFFFF"/>
            <w:tcMar>
              <w:top w:w="100" w:type="dxa"/>
              <w:left w:w="100" w:type="dxa"/>
              <w:bottom w:w="100" w:type="dxa"/>
              <w:right w:w="100" w:type="dxa"/>
            </w:tcMar>
            <w:vAlign w:val="center"/>
          </w:tcPr>
          <w:p>
            <w:pPr>
              <w:spacing w:after="0" w:line="252" w:lineRule="auto"/>
            </w:pPr>
            <w:r>
              <w:rPr>
                <w:b w:val="0"/>
                <w:sz w:val="21"/>
              </w:rPr>
              <w:t>De nombreuses apparitions sans accumulation nécessaire de domaines durables.</w:t>
            </w:r>
          </w:p>
        </w:tc>
      </w:tr>
      <w:tr>
        <w:trPr>
          <w:cantSplit/>
        </w:trPr>
        <w:tc>
          <w:tcPr>
            <w:tcW w:type="dxa" w:w="3672"/>
            <w:shd w:fill="FFFFFF"/>
            <w:tcMar>
              <w:top w:w="100" w:type="dxa"/>
              <w:left w:w="100" w:type="dxa"/>
              <w:bottom w:w="100" w:type="dxa"/>
              <w:right w:w="100" w:type="dxa"/>
            </w:tcMar>
            <w:vAlign w:val="center"/>
          </w:tcPr>
          <w:p>
            <w:pPr>
              <w:spacing w:after="0" w:line="252" w:lineRule="auto"/>
            </w:pPr>
            <w:r>
              <w:rPr>
                <w:b w:val="0"/>
                <w:sz w:val="21"/>
              </w:rPr>
              <w:t>Plusieurs domaines et faible interaction</w:t>
            </w:r>
          </w:p>
        </w:tc>
        <w:tc>
          <w:tcPr>
            <w:tcW w:type="dxa" w:w="6120"/>
            <w:shd w:fill="FFFFFF"/>
            <w:tcMar>
              <w:top w:w="100" w:type="dxa"/>
              <w:left w:w="100" w:type="dxa"/>
              <w:bottom w:w="100" w:type="dxa"/>
              <w:right w:w="100" w:type="dxa"/>
            </w:tcMar>
            <w:vAlign w:val="center"/>
          </w:tcPr>
          <w:p>
            <w:pPr>
              <w:spacing w:after="0" w:line="252" w:lineRule="auto"/>
            </w:pPr>
            <w:r>
              <w:rPr>
                <w:b w:val="0"/>
                <w:sz w:val="21"/>
              </w:rPr>
              <w:t>Une pluralité de domaines évoluant de façon presque autonome.</w:t>
            </w:r>
          </w:p>
        </w:tc>
      </w:tr>
      <w:tr>
        <w:trPr>
          <w:cantSplit/>
        </w:trPr>
        <w:tc>
          <w:tcPr>
            <w:tcW w:type="dxa" w:w="3672"/>
            <w:shd w:fill="FFFFFF"/>
            <w:tcMar>
              <w:top w:w="100" w:type="dxa"/>
              <w:left w:w="100" w:type="dxa"/>
              <w:bottom w:w="100" w:type="dxa"/>
              <w:right w:w="100" w:type="dxa"/>
            </w:tcMar>
            <w:vAlign w:val="center"/>
          </w:tcPr>
          <w:p>
            <w:pPr>
              <w:spacing w:after="0" w:line="252" w:lineRule="auto"/>
            </w:pPr>
            <w:r>
              <w:rPr>
                <w:b w:val="0"/>
                <w:sz w:val="21"/>
              </w:rPr>
              <w:t>Plusieurs domaines et interaction appréciable</w:t>
            </w:r>
          </w:p>
        </w:tc>
        <w:tc>
          <w:tcPr>
            <w:tcW w:type="dxa" w:w="6120"/>
            <w:shd w:fill="FFFFFF"/>
            <w:tcMar>
              <w:top w:w="100" w:type="dxa"/>
              <w:left w:w="100" w:type="dxa"/>
              <w:bottom w:w="100" w:type="dxa"/>
              <w:right w:w="100" w:type="dxa"/>
            </w:tcMar>
            <w:vAlign w:val="center"/>
          </w:tcPr>
          <w:p>
            <w:pPr>
              <w:spacing w:after="0" w:line="252" w:lineRule="auto"/>
            </w:pPr>
            <w:r>
              <w:rPr>
                <w:b w:val="0"/>
                <w:sz w:val="21"/>
              </w:rPr>
              <w:t>Des évolutions collectives et des transitions possibles, selon la dynamique.</w:t>
            </w:r>
          </w:p>
        </w:tc>
      </w:tr>
    </w:tbl>
    <w:p>
      <w:pPr>
        <w:spacing w:before="160"/>
      </w:pPr>
      <w:r>
        <w:rPr>
          <w:b w:val="0"/>
        </w:rPr>
        <w:t>Le nombre de domaines, leur durée et leur capacité d’interaction doivent ainsi rester distincts. Dans cette expérience de pensée, une infinité d’univers n’est ni nécessaire ni déduite. Une probabilité égale à 1 désignerait la certitude d’un événement précisément défini ; elle ne représenterait pas une infinité de domaines ou un effondrement collectif.</w:t>
      </w:r>
    </w:p>
    <w:p>
      <w:r>
        <w:rPr>
          <w:b w:val="0"/>
        </w:rPr>
        <w:t xml:space="preserve">L’interprétation d’Everett peut ensuite être envisagée comme un prolongement portant sur les histoires quantiques. Dans les formulations fondées sur la décohérence, le branchement est associé aux interactions physiques et ne dépend pas d’une décision humaine. Il n’exige ni un Big Bang à chaque branche ni des dimensions temporelles supplémentaires. Des histoires quantiques différentes peuvent partager un même passé cosmologique. Si les champs qui déterminent les paramètres effectifs sont eux-mêmes quantiques, leur évolution pourrait aussi participer au branchement : les deux questions ne forment donc pas nécessairement des étages indépendants. </w:t>
      </w:r>
      <w:hyperlink r:id="rId13">
        <w:r>
          <w:rPr>
            <w:color w:val="254C6B"/>
            <w:u w:val="single"/>
          </w:rPr>
          <w:t>Blackshaw, Huggett et Ladyman — Everettian Branching</w:t>
        </w:r>
      </w:hyperlink>
      <w:r>
        <w:rPr>
          <w:b w:val="0"/>
        </w:rPr>
      </w:r>
    </w:p>
    <w:p>
      <w:r>
        <w:rPr>
          <w:b w:val="0"/>
        </w:rPr>
        <w:t>Je conserve également l’intuition philosophique selon laquelle une réalité ne se réduit pas à ce qui est accessible depuis notre présent. Elle m’invite à interroger le statut de notre passé, de notre futur et d’autres histoires possibles. Elle ne m’oblige pas à affirmer que tous les passés imaginables et tous les futurs imaginables existent physiquement. Dans le scénario, seuls les domaines explicitement supposés réalisés reçoivent ce statut.</w:t>
      </w:r>
    </w:p>
    <w:p>
      <w:r>
        <w:rPr>
          <w:b w:val="0"/>
        </w:rPr>
        <w:t>Pour le temps, je retiens comme condition de l’expérience de pensée un ordre causal sans boucle : aucune influence ne revient modifier sa propre cause. Ce choix permet d’examiner le scénario sans y introduire de retour vers le passé ; il ne démontre pas une impossibilité générale du voyage temporel. Je ne suppose pas non plus une horloge universelle extérieure aux domaines. Parler de plusieurs émergences « au même moment » ou mesurer leur fréquence globale exigerait de définir un temps de comparaison commun.</w:t>
      </w:r>
    </w:p>
    <w:p>
      <w:r>
        <w:rPr>
          <w:b w:val="0"/>
        </w:rPr>
        <w:t>Pour représenter les configurations, je peux employer l’image d’une carte, voire d’une sphère des possibles. Ses axes représenteraient des propriétés ou des états physiques, et non des directions supplémentaires dans lesquelles on pourrait voyager. Cette image ne fixe ni la forme de la réalité globale ni la continuité de l’ensemble des configurations. Elle ne décrit pas davantage un brouillard matériel entourant les univers. Un domaine peu structuré ne serait pas nécessairement petit et ne libérerait pas automatiquement de la place pour l’expansion du nôtre.</w:t>
      </w:r>
    </w:p>
    <w:p>
      <w:r>
        <w:rPr>
          <w:b w:val="0"/>
        </w:rPr>
        <w:t>La portée humaine de cette réflexion concerne enfin l’apparition et la transformation des formes. La mort biologique marque la fin d’une organisation vivante, tandis que ses constituants poursuivent leur devenir physique. Un événement vécu comme un miracle peut exprimer notre étonnement ou une limite de notre compréhension. Les trous noirs peuvent nourrir une réflexion sur les transformations extrêmes de la matière et de l’espace-temps. Ces rapprochements restent philosophiques : ils n’établissent ni transfert entre univers, ni survie personnelle garantie, ni production de matière par la mort du vivant.</w:t>
      </w:r>
    </w:p>
    <w:p>
      <w:r>
        <w:rPr>
          <w:b w:val="0"/>
        </w:rPr>
        <w:t>L’intérêt de cette proposition serait d’examiner si une dynamique commune peut rendre compte à la fois des propriétés effectives des domaines et de leur émergence. Le rasoir d’Ockham inviterait alors à comparer les hypothèses nécessaires et leur pouvoir explicatif, sans départager le scénario par le seul nombre d’univers supposés.</w:t>
      </w:r>
    </w:p>
    <w:p>
      <w:r>
        <w:rPr>
          <w:b w:val="0"/>
        </w:rPr>
        <w:t>À ce stade, le scénario permet surtout d’identifier ce qu’il faudrait expliquer : quelles configurations sont accessibles, comment elles deviennent des domaines durables, quelle influence peut circuler entre eux, et dans quelles conditions une transition peut produire une histoire cosmologique. Une éventuelle trace observable devrait aussi pouvoir être distinguée d’un phénomène interne à notre univers. La question demeure ouverte : notre après-Big Bang pourrait-il être l’une des réalisations durables d’une dynamique physique plus fondamentale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69"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ience.nasa.gov/universe/overview/" TargetMode="External"/><Relationship Id="rId10" Type="http://schemas.openxmlformats.org/officeDocument/2006/relationships/hyperlink" Target="https://arxiv.org/abs/2206.03824" TargetMode="External"/><Relationship Id="rId11" Type="http://schemas.openxmlformats.org/officeDocument/2006/relationships/hyperlink" Target="https://arxiv.org/abs/1412.2040" TargetMode="External"/><Relationship Id="rId12" Type="http://schemas.openxmlformats.org/officeDocument/2006/relationships/hyperlink" Target="https://arxiv.org/html/2506.15209v2" TargetMode="External"/><Relationship Id="rId13" Type="http://schemas.openxmlformats.org/officeDocument/2006/relationships/hyperlink" Target="https://arxiv.org/html/2402.06848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Expérience de pensée sur l’émergence des univers</dc:title>
  <dc:subject>Configurations physiques, stabilité et transitions cosmologiques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