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Aptos Display" w:hAnsi="Aptos Display"/>
          <w:b/>
          <w:color w:val="16324F"/>
          <w:sz w:val="58"/>
        </w:rPr>
        <w:t>THE NEGOTIATOR</w:t>
      </w:r>
    </w:p>
    <w:p>
      <w:pPr>
        <w:jc w:val="center"/>
      </w:pPr>
      <w:r>
        <w:rPr>
          <w:color w:val="1F7A5A"/>
          <w:sz w:val="26"/>
        </w:rPr>
        <w:t>Project Definition &amp; Technical Blueprint</w:t>
      </w:r>
    </w:p>
    <w:p>
      <w:pPr>
        <w:spacing w:before="360"/>
        <w:jc w:val="center"/>
      </w:pPr>
      <w:r>
        <w:rPr>
          <w:color w:val="5B6573"/>
          <w:sz w:val="18"/>
        </w:rPr>
        <w:t>CHAOS HACKATHON  |  TEAM: BUSY-BEE  |  VERSION 1.0  |  15 OCTOBER 2026</w:t>
      </w:r>
    </w:p>
    <w:p/>
    <w:tbl>
      <w:tblPr>
        <w:tblW w:type="auto" w:w="0"/>
        <w:jc w:val="center"/>
        <w:tblLook w:firstColumn="1" w:firstRow="1" w:lastColumn="0" w:lastRow="0" w:noHBand="0" w:noVBand="1" w:val="04A0"/>
      </w:tblPr>
      <w:tblGrid>
        <w:gridCol w:w="9994"/>
      </w:tblGrid>
      <w:tr>
        <w:tc>
          <w:tcPr>
            <w:tcW w:type="dxa" w:w="9994"/>
            <w:shd w:fill="EAF2F6"/>
            <w:vAlign w:val="center"/>
          </w:tcPr>
          <w:p>
            <w:pPr>
              <w:spacing w:after="40"/>
            </w:pPr>
            <w:r/>
            <w:r>
              <w:rPr>
                <w:b/>
                <w:color w:val="16324F"/>
                <w:sz w:val="20"/>
              </w:rPr>
              <w:t>PROJECT GUARDRAILS: ₹0 new spend. Existing OpenAI API credit of $5 may be used cautiously. No paid subscriptions, auto-recharge, paid phone numbers, or paid inference services. Browser-based simulated merchant sessions are not PSTN calls.</w:t>
            </w:r>
          </w:p>
        </w:tc>
      </w:tr>
    </w:tbl>
    <w:p>
      <w:r>
        <w:br w:type="page"/>
      </w:r>
    </w:p>
    <w:p>
      <w:pPr>
        <w:pStyle w:val="Heading1"/>
      </w:pPr>
      <w:r>
        <w:t>1. Executive summary</w:t>
      </w:r>
    </w:p>
    <w:p>
      <w:r>
        <w:t>The Negotiator is a proof-first procurement assistant for buyers who need to compare vendors and negotiate terms. It conducts a live browser-based voice conversation with a consenting merchant participant, extracts structured offer terms, enforces buyer-defined constraints in deterministic backend code, stores transcript-linked evidence in MongoDB, and produces an explainable recommendation. The hackathon build demonstrates browser/WebRTC voice, not real PSTN outbound calling.</w:t>
      </w:r>
    </w:p>
    <w:p>
      <w:pPr>
        <w:pStyle w:val="Heading1"/>
      </w:pPr>
      <w:r>
        <w:t>2. Product thesis</w:t>
      </w:r>
    </w:p>
    <w:p>
      <w:r>
        <w:t>Most voice agents demonstrate fluent conversation. The Negotiator demonstrates controlled action and accountable decisions. Its core claim is: every recommendation can be traced to recorded offer evidence, and no model-generated instruction can override the buyer's authorised constraints.</w:t>
      </w:r>
    </w:p>
    <w:p>
      <w:pPr>
        <w:pStyle w:val="Heading1"/>
      </w:pPr>
      <w:r>
        <w:t>3. Problem and users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6324F"/>
            <w:vAlign w:val="center"/>
          </w:tcPr>
          <w:p>
            <w:pPr>
              <w:spacing w:after="40"/>
            </w:pPr>
            <w:r/>
            <w:r>
              <w:rPr>
                <w:b/>
                <w:color w:val="FFFFFF"/>
                <w:sz w:val="17"/>
              </w:rPr>
              <w:t>Audience</w:t>
            </w:r>
          </w:p>
        </w:tc>
        <w:tc>
          <w:tcPr>
            <w:tcW w:type="dxa" w:w="3331"/>
            <w:shd w:fill="16324F"/>
            <w:vAlign w:val="center"/>
          </w:tcPr>
          <w:p>
            <w:pPr>
              <w:spacing w:after="40"/>
            </w:pPr>
            <w:r/>
            <w:r>
              <w:rPr>
                <w:b/>
                <w:color w:val="FFFFFF"/>
                <w:sz w:val="17"/>
              </w:rPr>
              <w:t>Problem</w:t>
            </w:r>
          </w:p>
        </w:tc>
        <w:tc>
          <w:tcPr>
            <w:tcW w:type="dxa" w:w="3331"/>
            <w:shd w:fill="16324F"/>
            <w:vAlign w:val="center"/>
          </w:tcPr>
          <w:p>
            <w:pPr>
              <w:spacing w:after="40"/>
            </w:pPr>
            <w:r/>
            <w:r>
              <w:rPr>
                <w:b/>
                <w:color w:val="FFFFFF"/>
                <w:sz w:val="17"/>
              </w:rPr>
              <w:t>Value delivered</w:t>
            </w:r>
          </w:p>
        </w:tc>
      </w:tr>
      <w:tr>
        <w:tc>
          <w:tcPr>
            <w:tcW w:type="dxa" w:w="3331"/>
            <w:vAlign w:val="center"/>
          </w:tcPr>
          <w:p>
            <w:pPr>
              <w:spacing w:after="40"/>
            </w:pPr>
            <w:r/>
            <w:r>
              <w:rPr>
                <w:b w:val="0"/>
                <w:sz w:val="16"/>
              </w:rPr>
              <w:t>Small business / procurement buyer</w:t>
            </w:r>
          </w:p>
        </w:tc>
        <w:tc>
          <w:tcPr>
            <w:tcW w:type="dxa" w:w="3331"/>
            <w:vAlign w:val="center"/>
          </w:tcPr>
          <w:p>
            <w:pPr>
              <w:spacing w:after="40"/>
            </w:pPr>
            <w:r/>
            <w:r>
              <w:rPr>
                <w:b w:val="0"/>
                <w:sz w:val="16"/>
              </w:rPr>
              <w:t>Vendor quotes differ in price, shipping, warranty, delivery and payment conditions.</w:t>
            </w:r>
          </w:p>
        </w:tc>
        <w:tc>
          <w:tcPr>
            <w:tcW w:type="dxa" w:w="3331"/>
            <w:vAlign w:val="center"/>
          </w:tcPr>
          <w:p>
            <w:pPr>
              <w:spacing w:after="40"/>
            </w:pPr>
            <w:r/>
            <w:r>
              <w:rPr>
                <w:b w:val="0"/>
                <w:sz w:val="16"/>
              </w:rPr>
              <w:t>Comparable offers and an explainable shortlist.</w:t>
            </w:r>
          </w:p>
        </w:tc>
      </w:tr>
      <w:tr>
        <w:tc>
          <w:tcPr>
            <w:tcW w:type="dxa" w:w="3331"/>
            <w:shd w:fill="F5F8FA"/>
            <w:vAlign w:val="center"/>
          </w:tcPr>
          <w:p>
            <w:pPr>
              <w:spacing w:after="40"/>
            </w:pPr>
            <w:r/>
            <w:r>
              <w:rPr>
                <w:b w:val="0"/>
                <w:sz w:val="16"/>
              </w:rPr>
              <w:t>Operations manager</w:t>
            </w:r>
          </w:p>
        </w:tc>
        <w:tc>
          <w:tcPr>
            <w:tcW w:type="dxa" w:w="3331"/>
            <w:shd w:fill="F5F8FA"/>
            <w:vAlign w:val="center"/>
          </w:tcPr>
          <w:p>
            <w:pPr>
              <w:spacing w:after="40"/>
            </w:pPr>
            <w:r/>
            <w:r>
              <w:rPr>
                <w:b w:val="0"/>
                <w:sz w:val="16"/>
              </w:rPr>
              <w:t>Manual calls and notes are inconsistent and difficult to audit.</w:t>
            </w:r>
          </w:p>
        </w:tc>
        <w:tc>
          <w:tcPr>
            <w:tcW w:type="dxa" w:w="3331"/>
            <w:shd w:fill="F5F8FA"/>
            <w:vAlign w:val="center"/>
          </w:tcPr>
          <w:p>
            <w:pPr>
              <w:spacing w:after="40"/>
            </w:pPr>
            <w:r/>
            <w:r>
              <w:rPr>
                <w:b w:val="0"/>
                <w:sz w:val="16"/>
              </w:rPr>
              <w:t>Structured evidence trail and repeatable decision rules.</w:t>
            </w:r>
          </w:p>
        </w:tc>
      </w:tr>
      <w:tr>
        <w:tc>
          <w:tcPr>
            <w:tcW w:type="dxa" w:w="3331"/>
            <w:vAlign w:val="center"/>
          </w:tcPr>
          <w:p>
            <w:pPr>
              <w:spacing w:after="40"/>
            </w:pPr>
            <w:r/>
            <w:r>
              <w:rPr>
                <w:b w:val="0"/>
                <w:sz w:val="16"/>
              </w:rPr>
              <w:t>Hackathon judge / evaluator</w:t>
            </w:r>
          </w:p>
        </w:tc>
        <w:tc>
          <w:tcPr>
            <w:tcW w:type="dxa" w:w="3331"/>
            <w:vAlign w:val="center"/>
          </w:tcPr>
          <w:p>
            <w:pPr>
              <w:spacing w:after="40"/>
            </w:pPr>
            <w:r/>
            <w:r>
              <w:rPr>
                <w:b w:val="0"/>
                <w:sz w:val="16"/>
              </w:rPr>
              <w:t>A generic chatbot is difficult to distinguish from a prompt wrapper.</w:t>
            </w:r>
          </w:p>
        </w:tc>
        <w:tc>
          <w:tcPr>
            <w:tcW w:type="dxa" w:w="3331"/>
            <w:vAlign w:val="center"/>
          </w:tcPr>
          <w:p>
            <w:pPr>
              <w:spacing w:after="40"/>
            </w:pPr>
            <w:r/>
            <w:r>
              <w:rPr>
                <w:b w:val="0"/>
                <w:sz w:val="16"/>
              </w:rPr>
              <w:t>A visible guardrail test, evidence provenance and reproducible calculation.</w:t>
            </w:r>
          </w:p>
        </w:tc>
      </w:tr>
    </w:tbl>
    <w:p/>
    <w:p>
      <w:pPr>
        <w:pStyle w:val="Heading1"/>
      </w:pPr>
      <w:r>
        <w:t>4. Goals and non-goals</w:t>
      </w:r>
    </w:p>
    <w:p>
      <w:pPr>
        <w:pStyle w:val="Heading2"/>
      </w:pPr>
      <w:r>
        <w:t>Goals</w:t>
      </w:r>
    </w:p>
    <w:p>
      <w:pPr>
        <w:pStyle w:val="ListBullet"/>
        <w:spacing w:after="40"/>
      </w:pPr>
      <w:r>
        <w:t>Create a buyer mandate with budget, quantity, delivery deadline, minimum warranty and other hard constraints.</w:t>
      </w:r>
    </w:p>
    <w:p>
      <w:pPr>
        <w:pStyle w:val="ListBullet"/>
        <w:spacing w:after="40"/>
      </w:pPr>
      <w:r>
        <w:t>Run a browser-to-browser voice session through LiveKit, with a locally run agent using OpenAI Realtime API if account/model access is verified.</w:t>
      </w:r>
    </w:p>
    <w:p>
      <w:pPr>
        <w:pStyle w:val="ListBullet"/>
        <w:spacing w:after="40"/>
      </w:pPr>
      <w:r>
        <w:t>Capture offer statements as structured events with speaker, timestamp and transcript evidence.</w:t>
      </w:r>
    </w:p>
    <w:p>
      <w:pPr>
        <w:pStyle w:val="ListBullet"/>
        <w:spacing w:after="40"/>
      </w:pPr>
      <w:r>
        <w:t>Reject actions that violate backend policy, regardless of the LLM's wording.</w:t>
      </w:r>
    </w:p>
    <w:p>
      <w:pPr>
        <w:pStyle w:val="ListBullet"/>
        <w:spacing w:after="40"/>
      </w:pPr>
      <w:r>
        <w:t>Persist negotiations, offers, evidence and recommendations in MongoDB.</w:t>
      </w:r>
    </w:p>
    <w:p>
      <w:pPr>
        <w:pStyle w:val="ListBullet"/>
        <w:spacing w:after="40"/>
      </w:pPr>
      <w:r>
        <w:t>Compare at least two merchant offers using transparent total-cost calculations.</w:t>
      </w:r>
    </w:p>
    <w:p>
      <w:pPr>
        <w:pStyle w:val="ListBullet"/>
        <w:spacing w:after="40"/>
      </w:pPr>
      <w:r>
        <w:t>Provide a working fallback that does not misrepresent simulation as a real telephone call.</w:t>
      </w:r>
    </w:p>
    <w:p>
      <w:pPr>
        <w:pStyle w:val="Heading2"/>
      </w:pPr>
      <w:r>
        <w:t>Non-goals</w:t>
      </w:r>
    </w:p>
    <w:p>
      <w:pPr>
        <w:pStyle w:val="ListBullet"/>
        <w:spacing w:after="40"/>
      </w:pPr>
      <w:r>
        <w:t>No outbound PSTN calling or automated cold calling.</w:t>
      </w:r>
    </w:p>
    <w:p>
      <w:pPr>
        <w:pStyle w:val="ListBullet"/>
        <w:spacing w:after="40"/>
      </w:pPr>
      <w:r>
        <w:t>No purchasing, payment processing, binding contract formation or automatic purchase order placement.</w:t>
      </w:r>
    </w:p>
    <w:p>
      <w:pPr>
        <w:pStyle w:val="ListBullet"/>
        <w:spacing w:after="40"/>
      </w:pPr>
      <w:r>
        <w:t>No concurrent multi-merchant negotiation in the first MVP.</w:t>
      </w:r>
    </w:p>
    <w:p>
      <w:pPr>
        <w:pStyle w:val="ListBullet"/>
        <w:spacing w:after="40"/>
      </w:pPr>
      <w:r>
        <w:t>No vector database, RAG system, custom-trained model or complex multi-agent framework.</w:t>
      </w:r>
    </w:p>
    <w:p>
      <w:pPr>
        <w:pStyle w:val="ListBullet"/>
        <w:spacing w:after="40"/>
      </w:pPr>
      <w:r>
        <w:t>No paid hosting, paid voice provider, paid API credit purchase or new subscriptions.</w:t>
      </w:r>
    </w:p>
    <w:p>
      <w:pPr>
        <w:pStyle w:val="Heading1"/>
      </w:pPr>
      <w:r>
        <w:t>5. Primary user journey</w:t>
      </w:r>
    </w:p>
    <w:p>
      <w:pPr>
        <w:pStyle w:val="ListNumber"/>
        <w:spacing w:after="40"/>
      </w:pPr>
      <w:r>
        <w:t>Buyer creates a mandate: item, quantity, budget, required terms and negotiation authority.</w:t>
      </w:r>
    </w:p>
    <w:p>
      <w:pPr>
        <w:pStyle w:val="ListNumber"/>
        <w:spacing w:after="40"/>
      </w:pPr>
      <w:r>
        <w:t>Buyer selects a merchant session and joins the browser voice room.</w:t>
      </w:r>
    </w:p>
    <w:p>
      <w:pPr>
        <w:pStyle w:val="ListNumber"/>
        <w:spacing w:after="40"/>
      </w:pPr>
      <w:r>
        <w:t>The agent discloses that it is an AI and explains transcript capture before retaining evidence.</w:t>
      </w:r>
    </w:p>
    <w:p>
      <w:pPr>
        <w:pStyle w:val="ListNumber"/>
        <w:spacing w:after="40"/>
      </w:pPr>
      <w:r>
        <w:t>Agent asks questions, negotiates within its authorised limits and proposes structured offer updates.</w:t>
      </w:r>
    </w:p>
    <w:p>
      <w:pPr>
        <w:pStyle w:val="ListNumber"/>
        <w:spacing w:after="40"/>
      </w:pPr>
      <w:r>
        <w:t>Backend validates each event, stores it and emits updates to the dashboard.</w:t>
      </w:r>
    </w:p>
    <w:p>
      <w:pPr>
        <w:pStyle w:val="ListNumber"/>
        <w:spacing w:after="40"/>
      </w:pPr>
      <w:r>
        <w:t>Buyer reviews evidence-linked terms and resolves missing or contradictory information.</w:t>
      </w:r>
    </w:p>
    <w:p>
      <w:pPr>
        <w:pStyle w:val="ListNumber"/>
        <w:spacing w:after="40"/>
      </w:pPr>
      <w:r>
        <w:t>System compares eligible offers and displays the recommendation with calculation details.</w:t>
      </w:r>
    </w:p>
    <w:p>
      <w:pPr>
        <w:pStyle w:val="ListNumber"/>
        <w:spacing w:after="40"/>
      </w:pPr>
      <w:r>
        <w:t>Buyer makes the final decision; the system does not claim an order was placed.</w:t>
      </w:r>
    </w:p>
    <w:p>
      <w:pPr>
        <w:pStyle w:val="Heading1"/>
      </w:pPr>
      <w:r>
        <w:t>6. Signature features</w:t>
      </w:r>
    </w:p>
    <w:p>
      <w:pPr>
        <w:pStyle w:val="Heading2"/>
      </w:pPr>
      <w:r>
        <w:t>6.1 Negotiation Guard</w:t>
      </w:r>
    </w:p>
    <w:p>
      <w:r>
        <w:t>A deterministic policy module validates proposed counteroffers, required quantity, maximum total cost, delivery deadline, minimum warranty, permitted concessions, and state transitions. The LLM can suggest an action but cannot authoritatively accept an offer or alter the mandate.</w:t>
      </w:r>
    </w:p>
    <w:p>
      <w:pPr>
        <w:pStyle w:val="Heading2"/>
      </w:pPr>
      <w:r>
        <w:t>6.2 Live Evidence Ledger</w:t>
      </w:r>
    </w:p>
    <w:p>
      <w:r>
        <w:t>Each material term links to a transcript turn or source excerpt, timestamp, speaker, extraction event, verification status and revision history. A price proposal is not an agreement; missing fees are unknown rather than zero; a merchant's confirmation is distinct from buyer approval.</w:t>
      </w:r>
    </w:p>
    <w:p>
      <w:pPr>
        <w:pStyle w:val="Heading2"/>
      </w:pPr>
      <w:r>
        <w:t>6.3 Deal Decision Engine</w:t>
      </w:r>
    </w:p>
    <w:p>
      <w:r>
        <w:t>The engine first filters offers against hard requirements. It then calculates total landed cost from confirmed price, quantity, shipping, taxes and fees. Eligible offers are ranked by cost and buyer-defined tie-breakers. Unknown material terms cause an incomplete status rather than a fabricated winner.</w:t>
      </w:r>
    </w:p>
    <w:p>
      <w:pPr>
        <w:pStyle w:val="Heading1"/>
      </w:pPr>
      <w:r>
        <w:t>7. Proposed architecture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6324F"/>
            <w:vAlign w:val="center"/>
          </w:tcPr>
          <w:p>
            <w:pPr>
              <w:spacing w:after="40"/>
            </w:pPr>
            <w:r/>
            <w:r>
              <w:rPr>
                <w:b/>
                <w:color w:val="FFFFFF"/>
                <w:sz w:val="17"/>
              </w:rPr>
              <w:t>Layer</w:t>
            </w:r>
          </w:p>
        </w:tc>
        <w:tc>
          <w:tcPr>
            <w:tcW w:type="dxa" w:w="3331"/>
            <w:shd w:fill="16324F"/>
            <w:vAlign w:val="center"/>
          </w:tcPr>
          <w:p>
            <w:pPr>
              <w:spacing w:after="40"/>
            </w:pPr>
            <w:r/>
            <w:r>
              <w:rPr>
                <w:b/>
                <w:color w:val="FFFFFF"/>
                <w:sz w:val="17"/>
              </w:rPr>
              <w:t>Choice</w:t>
            </w:r>
          </w:p>
        </w:tc>
        <w:tc>
          <w:tcPr>
            <w:tcW w:type="dxa" w:w="3331"/>
            <w:shd w:fill="16324F"/>
            <w:vAlign w:val="center"/>
          </w:tcPr>
          <w:p>
            <w:pPr>
              <w:spacing w:after="40"/>
            </w:pPr>
            <w:r/>
            <w:r>
              <w:rPr>
                <w:b/>
                <w:color w:val="FFFFFF"/>
                <w:sz w:val="17"/>
              </w:rPr>
              <w:t>Responsibility</w:t>
            </w:r>
          </w:p>
        </w:tc>
      </w:tr>
      <w:tr>
        <w:tc>
          <w:tcPr>
            <w:tcW w:type="dxa" w:w="3331"/>
            <w:vAlign w:val="center"/>
          </w:tcPr>
          <w:p>
            <w:pPr>
              <w:spacing w:after="40"/>
            </w:pPr>
            <w:r/>
            <w:r>
              <w:rPr>
                <w:b w:val="0"/>
                <w:sz w:val="16"/>
              </w:rPr>
              <w:t>Frontend</w:t>
            </w:r>
          </w:p>
        </w:tc>
        <w:tc>
          <w:tcPr>
            <w:tcW w:type="dxa" w:w="3331"/>
            <w:vAlign w:val="center"/>
          </w:tcPr>
          <w:p>
            <w:pPr>
              <w:spacing w:after="40"/>
            </w:pPr>
            <w:r/>
            <w:r>
              <w:rPr>
                <w:b w:val="0"/>
                <w:sz w:val="16"/>
              </w:rPr>
              <w:t>React + Vite + TypeScript</w:t>
            </w:r>
          </w:p>
        </w:tc>
        <w:tc>
          <w:tcPr>
            <w:tcW w:type="dxa" w:w="3331"/>
            <w:vAlign w:val="center"/>
          </w:tcPr>
          <w:p>
            <w:pPr>
              <w:spacing w:after="40"/>
            </w:pPr>
            <w:r/>
            <w:r>
              <w:rPr>
                <w:b w:val="0"/>
                <w:sz w:val="16"/>
              </w:rPr>
              <w:t>Buyer dashboard, merchant browser, ledger, comparison and session status.</w:t>
            </w:r>
          </w:p>
        </w:tc>
      </w:tr>
      <w:tr>
        <w:tc>
          <w:tcPr>
            <w:tcW w:type="dxa" w:w="3331"/>
            <w:shd w:fill="F5F8FA"/>
            <w:vAlign w:val="center"/>
          </w:tcPr>
          <w:p>
            <w:pPr>
              <w:spacing w:after="40"/>
            </w:pPr>
            <w:r/>
            <w:r>
              <w:rPr>
                <w:b w:val="0"/>
                <w:sz w:val="16"/>
              </w:rPr>
              <w:t>Voice transport</w:t>
            </w:r>
          </w:p>
        </w:tc>
        <w:tc>
          <w:tcPr>
            <w:tcW w:type="dxa" w:w="3331"/>
            <w:shd w:fill="F5F8FA"/>
            <w:vAlign w:val="center"/>
          </w:tcPr>
          <w:p>
            <w:pPr>
              <w:spacing w:after="40"/>
            </w:pPr>
            <w:r/>
            <w:r>
              <w:rPr>
                <w:b w:val="0"/>
                <w:sz w:val="16"/>
              </w:rPr>
              <w:t>LiveKit WebRTC / Cloud</w:t>
            </w:r>
          </w:p>
        </w:tc>
        <w:tc>
          <w:tcPr>
            <w:tcW w:type="dxa" w:w="3331"/>
            <w:shd w:fill="F5F8FA"/>
            <w:vAlign w:val="center"/>
          </w:tcPr>
          <w:p>
            <w:pPr>
              <w:spacing w:after="40"/>
            </w:pPr>
            <w:r/>
            <w:r>
              <w:rPr>
                <w:b w:val="0"/>
                <w:sz w:val="16"/>
              </w:rPr>
              <w:t>Browser participants and agent connection, subject to free-tier validation.</w:t>
            </w:r>
          </w:p>
        </w:tc>
      </w:tr>
      <w:tr>
        <w:tc>
          <w:tcPr>
            <w:tcW w:type="dxa" w:w="3331"/>
            <w:vAlign w:val="center"/>
          </w:tcPr>
          <w:p>
            <w:pPr>
              <w:spacing w:after="40"/>
            </w:pPr>
            <w:r/>
            <w:r>
              <w:rPr>
                <w:b w:val="0"/>
                <w:sz w:val="16"/>
              </w:rPr>
              <w:t>Voice agent</w:t>
            </w:r>
          </w:p>
        </w:tc>
        <w:tc>
          <w:tcPr>
            <w:tcW w:type="dxa" w:w="3331"/>
            <w:vAlign w:val="center"/>
          </w:tcPr>
          <w:p>
            <w:pPr>
              <w:spacing w:after="40"/>
            </w:pPr>
            <w:r/>
            <w:r>
              <w:rPr>
                <w:b w:val="0"/>
                <w:sz w:val="16"/>
              </w:rPr>
              <w:t>LiveKit Agents for Node.js + OpenAI plugin</w:t>
            </w:r>
          </w:p>
        </w:tc>
        <w:tc>
          <w:tcPr>
            <w:tcW w:type="dxa" w:w="3331"/>
            <w:vAlign w:val="center"/>
          </w:tcPr>
          <w:p>
            <w:pPr>
              <w:spacing w:after="40"/>
            </w:pPr>
            <w:r/>
            <w:r>
              <w:rPr>
                <w:b w:val="0"/>
                <w:sz w:val="16"/>
              </w:rPr>
              <w:t>Session lifecycle, voice interaction, tool calling and transcript events.</w:t>
            </w:r>
          </w:p>
        </w:tc>
      </w:tr>
      <w:tr>
        <w:tc>
          <w:tcPr>
            <w:tcW w:type="dxa" w:w="3331"/>
            <w:shd w:fill="F5F8FA"/>
            <w:vAlign w:val="center"/>
          </w:tcPr>
          <w:p>
            <w:pPr>
              <w:spacing w:after="40"/>
            </w:pPr>
            <w:r/>
            <w:r>
              <w:rPr>
                <w:b w:val="0"/>
                <w:sz w:val="16"/>
              </w:rPr>
              <w:t>Model</w:t>
            </w:r>
          </w:p>
        </w:tc>
        <w:tc>
          <w:tcPr>
            <w:tcW w:type="dxa" w:w="3331"/>
            <w:shd w:fill="F5F8FA"/>
            <w:vAlign w:val="center"/>
          </w:tcPr>
          <w:p>
            <w:pPr>
              <w:spacing w:after="40"/>
            </w:pPr>
            <w:r/>
            <w:r>
              <w:rPr>
                <w:b w:val="0"/>
                <w:sz w:val="16"/>
              </w:rPr>
              <w:t>OpenAI Realtime API</w:t>
            </w:r>
          </w:p>
        </w:tc>
        <w:tc>
          <w:tcPr>
            <w:tcW w:type="dxa" w:w="3331"/>
            <w:shd w:fill="F5F8FA"/>
            <w:vAlign w:val="center"/>
          </w:tcPr>
          <w:p>
            <w:pPr>
              <w:spacing w:after="40"/>
            </w:pPr>
            <w:r/>
            <w:r>
              <w:rPr>
                <w:b w:val="0"/>
                <w:sz w:val="16"/>
              </w:rPr>
              <w:t>Speech conversation and structured tool calls; exact model must be verified against account access and current pricing.</w:t>
            </w:r>
          </w:p>
        </w:tc>
      </w:tr>
      <w:tr>
        <w:tc>
          <w:tcPr>
            <w:tcW w:type="dxa" w:w="3331"/>
            <w:vAlign w:val="center"/>
          </w:tcPr>
          <w:p>
            <w:pPr>
              <w:spacing w:after="40"/>
            </w:pPr>
            <w:r/>
            <w:r>
              <w:rPr>
                <w:b w:val="0"/>
                <w:sz w:val="16"/>
              </w:rPr>
              <w:t>Backend</w:t>
            </w:r>
          </w:p>
        </w:tc>
        <w:tc>
          <w:tcPr>
            <w:tcW w:type="dxa" w:w="3331"/>
            <w:vAlign w:val="center"/>
          </w:tcPr>
          <w:p>
            <w:pPr>
              <w:spacing w:after="40"/>
            </w:pPr>
            <w:r/>
            <w:r>
              <w:rPr>
                <w:b w:val="0"/>
                <w:sz w:val="16"/>
              </w:rPr>
              <w:t>Node.js + Express + TypeScript + Zod</w:t>
            </w:r>
          </w:p>
        </w:tc>
        <w:tc>
          <w:tcPr>
            <w:tcW w:type="dxa" w:w="3331"/>
            <w:vAlign w:val="center"/>
          </w:tcPr>
          <w:p>
            <w:pPr>
              <w:spacing w:after="40"/>
            </w:pPr>
            <w:r/>
            <w:r>
              <w:rPr>
                <w:b w:val="0"/>
                <w:sz w:val="16"/>
              </w:rPr>
              <w:t>Policy validation, API contracts, authorization, persistence and recommendation.</w:t>
            </w:r>
          </w:p>
        </w:tc>
      </w:tr>
      <w:tr>
        <w:tc>
          <w:tcPr>
            <w:tcW w:type="dxa" w:w="3331"/>
            <w:shd w:fill="F5F8FA"/>
            <w:vAlign w:val="center"/>
          </w:tcPr>
          <w:p>
            <w:pPr>
              <w:spacing w:after="40"/>
            </w:pPr>
            <w:r/>
            <w:r>
              <w:rPr>
                <w:b w:val="0"/>
                <w:sz w:val="16"/>
              </w:rPr>
              <w:t>Database</w:t>
            </w:r>
          </w:p>
        </w:tc>
        <w:tc>
          <w:tcPr>
            <w:tcW w:type="dxa" w:w="3331"/>
            <w:shd w:fill="F5F8FA"/>
            <w:vAlign w:val="center"/>
          </w:tcPr>
          <w:p>
            <w:pPr>
              <w:spacing w:after="40"/>
            </w:pPr>
            <w:r/>
            <w:r>
              <w:rPr>
                <w:b w:val="0"/>
                <w:sz w:val="16"/>
              </w:rPr>
              <w:t>MongoDB Atlas free cluster; local MongoDB fallback</w:t>
            </w:r>
          </w:p>
        </w:tc>
        <w:tc>
          <w:tcPr>
            <w:tcW w:type="dxa" w:w="3331"/>
            <w:shd w:fill="F5F8FA"/>
            <w:vAlign w:val="center"/>
          </w:tcPr>
          <w:p>
            <w:pPr>
              <w:spacing w:after="40"/>
            </w:pPr>
            <w:r/>
            <w:r>
              <w:rPr>
                <w:b w:val="0"/>
                <w:sz w:val="16"/>
              </w:rPr>
              <w:t>Negotiations, sessions, offers, evidence and recommendation records.</w:t>
            </w:r>
          </w:p>
        </w:tc>
      </w:tr>
      <w:tr>
        <w:tc>
          <w:tcPr>
            <w:tcW w:type="dxa" w:w="3331"/>
            <w:vAlign w:val="center"/>
          </w:tcPr>
          <w:p>
            <w:pPr>
              <w:spacing w:after="40"/>
            </w:pPr>
            <w:r/>
            <w:r>
              <w:rPr>
                <w:b w:val="0"/>
                <w:sz w:val="16"/>
              </w:rPr>
              <w:t>Live updates</w:t>
            </w:r>
          </w:p>
        </w:tc>
        <w:tc>
          <w:tcPr>
            <w:tcW w:type="dxa" w:w="3331"/>
            <w:vAlign w:val="center"/>
          </w:tcPr>
          <w:p>
            <w:pPr>
              <w:spacing w:after="40"/>
            </w:pPr>
            <w:r/>
            <w:r>
              <w:rPr>
                <w:b w:val="0"/>
                <w:sz w:val="16"/>
              </w:rPr>
              <w:t>Server-Sent Events</w:t>
            </w:r>
          </w:p>
        </w:tc>
        <w:tc>
          <w:tcPr>
            <w:tcW w:type="dxa" w:w="3331"/>
            <w:vAlign w:val="center"/>
          </w:tcPr>
          <w:p>
            <w:pPr>
              <w:spacing w:after="40"/>
            </w:pPr>
            <w:r/>
            <w:r>
              <w:rPr>
                <w:b w:val="0"/>
                <w:sz w:val="16"/>
              </w:rPr>
              <w:t>Push validated state changes to the buyer dashboard.</w:t>
            </w:r>
          </w:p>
        </w:tc>
      </w:tr>
      <w:tr>
        <w:tc>
          <w:tcPr>
            <w:tcW w:type="dxa" w:w="3331"/>
            <w:shd w:fill="F5F8FA"/>
            <w:vAlign w:val="center"/>
          </w:tcPr>
          <w:p>
            <w:pPr>
              <w:spacing w:after="40"/>
            </w:pPr>
            <w:r/>
            <w:r>
              <w:rPr>
                <w:b w:val="0"/>
                <w:sz w:val="16"/>
              </w:rPr>
              <w:t>Testing</w:t>
            </w:r>
          </w:p>
        </w:tc>
        <w:tc>
          <w:tcPr>
            <w:tcW w:type="dxa" w:w="3331"/>
            <w:shd w:fill="F5F8FA"/>
            <w:vAlign w:val="center"/>
          </w:tcPr>
          <w:p>
            <w:pPr>
              <w:spacing w:after="40"/>
            </w:pPr>
            <w:r/>
            <w:r>
              <w:rPr>
                <w:b w:val="0"/>
                <w:sz w:val="16"/>
              </w:rPr>
              <w:t>Node test runner or Vitest</w:t>
            </w:r>
          </w:p>
        </w:tc>
        <w:tc>
          <w:tcPr>
            <w:tcW w:type="dxa" w:w="3331"/>
            <w:shd w:fill="F5F8FA"/>
            <w:vAlign w:val="center"/>
          </w:tcPr>
          <w:p>
            <w:pPr>
              <w:spacing w:after="40"/>
            </w:pPr>
            <w:r/>
            <w:r>
              <w:rPr>
                <w:b w:val="0"/>
                <w:sz w:val="16"/>
              </w:rPr>
              <w:t>Policy tests, schema tests, calculation tests and integration checks.</w:t>
            </w:r>
          </w:p>
        </w:tc>
      </w:tr>
    </w:tbl>
    <w:p/>
    <w:p>
      <w:pPr>
        <w:pStyle w:val="Heading1"/>
      </w:pPr>
      <w:r>
        <w:t>8. High-level data flow</w:t>
      </w:r>
    </w:p>
    <w:p>
      <w:pPr>
        <w:pStyle w:val="ListNumber"/>
        <w:spacing w:after="40"/>
      </w:pPr>
      <w:r>
        <w:t>Frontend creates a negotiation via the Express API.</w:t>
      </w:r>
    </w:p>
    <w:p>
      <w:pPr>
        <w:pStyle w:val="ListNumber"/>
        <w:spacing w:after="40"/>
      </w:pPr>
      <w:r>
        <w:t>Backend persists the mandate and creates an authorised session record.</w:t>
      </w:r>
    </w:p>
    <w:p>
      <w:pPr>
        <w:pStyle w:val="ListNumber"/>
        <w:spacing w:after="40"/>
      </w:pPr>
      <w:r>
        <w:t>Participants connect to a LiveKit room; the agent connects to the selected realtime model.</w:t>
      </w:r>
    </w:p>
    <w:p>
      <w:pPr>
        <w:pStyle w:val="ListNumber"/>
        <w:spacing w:after="40"/>
      </w:pPr>
      <w:r>
        <w:t>Agent tool calls propose evidence and offer updates to the backend.</w:t>
      </w:r>
    </w:p>
    <w:p>
      <w:pPr>
        <w:pStyle w:val="ListNumber"/>
        <w:spacing w:after="40"/>
      </w:pPr>
      <w:r>
        <w:t>Backend validates schema, source references, policy, idempotency and allowed state transitions.</w:t>
      </w:r>
    </w:p>
    <w:p>
      <w:pPr>
        <w:pStyle w:val="ListNumber"/>
        <w:spacing w:after="40"/>
      </w:pPr>
      <w:r>
        <w:t>Validated events are persisted in MongoDB and emitted to the dashboard using SSE.</w:t>
      </w:r>
    </w:p>
    <w:p>
      <w:pPr>
        <w:pStyle w:val="ListNumber"/>
        <w:spacing w:after="40"/>
      </w:pPr>
      <w:r>
        <w:t>Decision engine evaluates complete offers and stores an auditable recommendation.</w:t>
      </w:r>
    </w:p>
    <w:p>
      <w:pPr>
        <w:pStyle w:val="Heading1"/>
      </w:pPr>
      <w:r>
        <w:t>9. Logical data entities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6324F"/>
            <w:vAlign w:val="center"/>
          </w:tcPr>
          <w:p>
            <w:pPr>
              <w:spacing w:after="40"/>
            </w:pPr>
            <w:r/>
            <w:r>
              <w:rPr>
                <w:b/>
                <w:color w:val="FFFFFF"/>
                <w:sz w:val="17"/>
              </w:rPr>
              <w:t>Entity</w:t>
            </w:r>
          </w:p>
        </w:tc>
        <w:tc>
          <w:tcPr>
            <w:tcW w:type="dxa" w:w="3331"/>
            <w:shd w:fill="16324F"/>
            <w:vAlign w:val="center"/>
          </w:tcPr>
          <w:p>
            <w:pPr>
              <w:spacing w:after="40"/>
            </w:pPr>
            <w:r/>
            <w:r>
              <w:rPr>
                <w:b/>
                <w:color w:val="FFFFFF"/>
                <w:sz w:val="17"/>
              </w:rPr>
              <w:t>Key fields</w:t>
            </w:r>
          </w:p>
        </w:tc>
        <w:tc>
          <w:tcPr>
            <w:tcW w:type="dxa" w:w="3331"/>
            <w:shd w:fill="16324F"/>
            <w:vAlign w:val="center"/>
          </w:tcPr>
          <w:p>
            <w:pPr>
              <w:spacing w:after="40"/>
            </w:pPr>
            <w:r/>
            <w:r>
              <w:rPr>
                <w:b/>
                <w:color w:val="FFFFFF"/>
                <w:sz w:val="17"/>
              </w:rPr>
              <w:t>Rules</w:t>
            </w:r>
          </w:p>
        </w:tc>
      </w:tr>
      <w:tr>
        <w:tc>
          <w:tcPr>
            <w:tcW w:type="dxa" w:w="3331"/>
            <w:vAlign w:val="center"/>
          </w:tcPr>
          <w:p>
            <w:pPr>
              <w:spacing w:after="40"/>
            </w:pPr>
            <w:r/>
            <w:r>
              <w:rPr>
                <w:b w:val="0"/>
                <w:sz w:val="16"/>
              </w:rPr>
              <w:t>Negotiation</w:t>
            </w:r>
          </w:p>
        </w:tc>
        <w:tc>
          <w:tcPr>
            <w:tcW w:type="dxa" w:w="3331"/>
            <w:vAlign w:val="center"/>
          </w:tcPr>
          <w:p>
            <w:pPr>
              <w:spacing w:after="40"/>
            </w:pPr>
            <w:r/>
            <w:r>
              <w:rPr>
                <w:b w:val="0"/>
                <w:sz w:val="16"/>
              </w:rPr>
              <w:t>id, objective, quantity, currency, budget, constraints, status</w:t>
            </w:r>
          </w:p>
        </w:tc>
        <w:tc>
          <w:tcPr>
            <w:tcW w:type="dxa" w:w="3331"/>
            <w:vAlign w:val="center"/>
          </w:tcPr>
          <w:p>
            <w:pPr>
              <w:spacing w:after="40"/>
            </w:pPr>
            <w:r/>
            <w:r>
              <w:rPr>
                <w:b w:val="0"/>
                <w:sz w:val="16"/>
              </w:rPr>
              <w:t>Mandate is immutable after start except through an explicit audited edit.</w:t>
            </w:r>
          </w:p>
        </w:tc>
      </w:tr>
      <w:tr>
        <w:tc>
          <w:tcPr>
            <w:tcW w:type="dxa" w:w="3331"/>
            <w:shd w:fill="F5F8FA"/>
            <w:vAlign w:val="center"/>
          </w:tcPr>
          <w:p>
            <w:pPr>
              <w:spacing w:after="40"/>
            </w:pPr>
            <w:r/>
            <w:r>
              <w:rPr>
                <w:b w:val="0"/>
                <w:sz w:val="16"/>
              </w:rPr>
              <w:t>Session</w:t>
            </w:r>
          </w:p>
        </w:tc>
        <w:tc>
          <w:tcPr>
            <w:tcW w:type="dxa" w:w="3331"/>
            <w:shd w:fill="F5F8FA"/>
            <w:vAlign w:val="center"/>
          </w:tcPr>
          <w:p>
            <w:pPr>
              <w:spacing w:after="40"/>
            </w:pPr>
            <w:r/>
            <w:r>
              <w:rPr>
                <w:b w:val="0"/>
                <w:sz w:val="16"/>
              </w:rPr>
              <w:t>id, negotiationId, merchant, roomId, startedAt, endedAt, status</w:t>
            </w:r>
          </w:p>
        </w:tc>
        <w:tc>
          <w:tcPr>
            <w:tcW w:type="dxa" w:w="3331"/>
            <w:shd w:fill="F5F8FA"/>
            <w:vAlign w:val="center"/>
          </w:tcPr>
          <w:p>
            <w:pPr>
              <w:spacing w:after="40"/>
            </w:pPr>
            <w:r/>
            <w:r>
              <w:rPr>
                <w:b w:val="0"/>
                <w:sz w:val="16"/>
              </w:rPr>
              <w:t>One session per merchant for MVP; no duplicate active session.</w:t>
            </w:r>
          </w:p>
        </w:tc>
      </w:tr>
      <w:tr>
        <w:tc>
          <w:tcPr>
            <w:tcW w:type="dxa" w:w="3331"/>
            <w:vAlign w:val="center"/>
          </w:tcPr>
          <w:p>
            <w:pPr>
              <w:spacing w:after="40"/>
            </w:pPr>
            <w:r/>
            <w:r>
              <w:rPr>
                <w:b w:val="0"/>
                <w:sz w:val="16"/>
              </w:rPr>
              <w:t>Offer</w:t>
            </w:r>
          </w:p>
        </w:tc>
        <w:tc>
          <w:tcPr>
            <w:tcW w:type="dxa" w:w="3331"/>
            <w:vAlign w:val="center"/>
          </w:tcPr>
          <w:p>
            <w:pPr>
              <w:spacing w:after="40"/>
            </w:pPr>
            <w:r/>
            <w:r>
              <w:rPr>
                <w:b w:val="0"/>
                <w:sz w:val="16"/>
              </w:rPr>
              <w:t>id, sessionId, terms, status, revision, evidenceIds</w:t>
            </w:r>
          </w:p>
        </w:tc>
        <w:tc>
          <w:tcPr>
            <w:tcW w:type="dxa" w:w="3331"/>
            <w:vAlign w:val="center"/>
          </w:tcPr>
          <w:p>
            <w:pPr>
              <w:spacing w:after="40"/>
            </w:pPr>
            <w:r/>
            <w:r>
              <w:rPr>
                <w:b w:val="0"/>
                <w:sz w:val="16"/>
              </w:rPr>
              <w:t>Separate proposed, countered, merchant-confirmed, disputed and incomplete states.</w:t>
            </w:r>
          </w:p>
        </w:tc>
      </w:tr>
      <w:tr>
        <w:tc>
          <w:tcPr>
            <w:tcW w:type="dxa" w:w="3331"/>
            <w:shd w:fill="F5F8FA"/>
            <w:vAlign w:val="center"/>
          </w:tcPr>
          <w:p>
            <w:pPr>
              <w:spacing w:after="40"/>
            </w:pPr>
            <w:r/>
            <w:r>
              <w:rPr>
                <w:b w:val="0"/>
                <w:sz w:val="16"/>
              </w:rPr>
              <w:t>Evidence event</w:t>
            </w:r>
          </w:p>
        </w:tc>
        <w:tc>
          <w:tcPr>
            <w:tcW w:type="dxa" w:w="3331"/>
            <w:shd w:fill="F5F8FA"/>
            <w:vAlign w:val="center"/>
          </w:tcPr>
          <w:p>
            <w:pPr>
              <w:spacing w:after="40"/>
            </w:pPr>
            <w:r/>
            <w:r>
              <w:rPr>
                <w:b w:val="0"/>
                <w:sz w:val="16"/>
              </w:rPr>
              <w:t>id, sessionId, speaker, timestamp, text, termKey, sourceTurnId, verification</w:t>
            </w:r>
          </w:p>
        </w:tc>
        <w:tc>
          <w:tcPr>
            <w:tcW w:type="dxa" w:w="3331"/>
            <w:shd w:fill="F5F8FA"/>
            <w:vAlign w:val="center"/>
          </w:tcPr>
          <w:p>
            <w:pPr>
              <w:spacing w:after="40"/>
            </w:pPr>
            <w:r/>
            <w:r>
              <w:rPr>
                <w:b w:val="0"/>
                <w:sz w:val="16"/>
              </w:rPr>
              <w:t>Evidence must refer to a real captured source turn; never invent transcript text.</w:t>
            </w:r>
          </w:p>
        </w:tc>
      </w:tr>
      <w:tr>
        <w:tc>
          <w:tcPr>
            <w:tcW w:type="dxa" w:w="3331"/>
            <w:vAlign w:val="center"/>
          </w:tcPr>
          <w:p>
            <w:pPr>
              <w:spacing w:after="40"/>
            </w:pPr>
            <w:r/>
            <w:r>
              <w:rPr>
                <w:b w:val="0"/>
                <w:sz w:val="16"/>
              </w:rPr>
              <w:t>Recommendation</w:t>
            </w:r>
          </w:p>
        </w:tc>
        <w:tc>
          <w:tcPr>
            <w:tcW w:type="dxa" w:w="3331"/>
            <w:vAlign w:val="center"/>
          </w:tcPr>
          <w:p>
            <w:pPr>
              <w:spacing w:after="40"/>
            </w:pPr>
            <w:r/>
            <w:r>
              <w:rPr>
                <w:b w:val="0"/>
                <w:sz w:val="16"/>
              </w:rPr>
              <w:t>id, negotiationId, eligibleOffers, calculations, exclusions, unresolvedTerms</w:t>
            </w:r>
          </w:p>
        </w:tc>
        <w:tc>
          <w:tcPr>
            <w:tcW w:type="dxa" w:w="3331"/>
            <w:vAlign w:val="center"/>
          </w:tcPr>
          <w:p>
            <w:pPr>
              <w:spacing w:after="40"/>
            </w:pPr>
            <w:r/>
            <w:r>
              <w:rPr>
                <w:b w:val="0"/>
                <w:sz w:val="16"/>
              </w:rPr>
              <w:t>Store formula inputs and output so the result can be reproduced.</w:t>
            </w:r>
          </w:p>
        </w:tc>
      </w:tr>
    </w:tbl>
    <w:p/>
    <w:p>
      <w:pPr>
        <w:pStyle w:val="Heading1"/>
      </w:pPr>
      <w:r>
        <w:t>10. Security, privacy and ethical boundaries</w:t>
      </w:r>
    </w:p>
    <w:p>
      <w:pPr>
        <w:pStyle w:val="ListBullet"/>
        <w:spacing w:after="40"/>
      </w:pPr>
      <w:r>
        <w:t>Disclose AI identity and transcript capture before recording or retaining session evidence.</w:t>
      </w:r>
    </w:p>
    <w:p>
      <w:pPr>
        <w:pStyle w:val="ListBullet"/>
        <w:spacing w:after="40"/>
      </w:pPr>
      <w:r>
        <w:t>Use consenting teammates or prearranged participants only.</w:t>
      </w:r>
    </w:p>
    <w:p>
      <w:pPr>
        <w:pStyle w:val="ListBullet"/>
        <w:spacing w:after="40"/>
      </w:pPr>
      <w:r>
        <w:t>Do not make real business calls, claim a simulated session is a phone call, or attempt to bypass telecom controls.</w:t>
      </w:r>
    </w:p>
    <w:p>
      <w:pPr>
        <w:pStyle w:val="ListBullet"/>
        <w:spacing w:after="40"/>
      </w:pPr>
      <w:r>
        <w:t>Keep OpenAI and LiveKit server secrets and MongoDB credentials out of frontend code and logs.</w:t>
      </w:r>
    </w:p>
    <w:p>
      <w:pPr>
        <w:pStyle w:val="ListBullet"/>
        <w:spacing w:after="40"/>
      </w:pPr>
      <w:r>
        <w:t>Use short-lived room tokens with participant-specific permissions.</w:t>
      </w:r>
    </w:p>
    <w:p>
      <w:pPr>
        <w:pStyle w:val="ListBullet"/>
        <w:spacing w:after="40"/>
      </w:pPr>
      <w:r>
        <w:t>Restrict database network access where practical; do not use a broad allowlist by default.</w:t>
      </w:r>
    </w:p>
    <w:p>
      <w:pPr>
        <w:pStyle w:val="ListBullet"/>
        <w:spacing w:after="40"/>
      </w:pPr>
      <w:r>
        <w:t>Apply payload validation, rate limiting and idempotency to state-changing endpoints.</w:t>
      </w:r>
    </w:p>
    <w:p>
      <w:pPr>
        <w:pStyle w:val="ListBullet"/>
        <w:spacing w:after="40"/>
      </w:pPr>
      <w:r>
        <w:t>Store only the transcript material required for the demo; avoid unnecessary personal data.</w:t>
      </w:r>
    </w:p>
    <w:p>
      <w:pPr>
        <w:pStyle w:val="Heading1"/>
      </w:pPr>
      <w:r>
        <w:t>11. Zero-cost policy</w:t>
      </w:r>
    </w:p>
    <w:p>
      <w:r>
        <w:t>Allowed: free/open-source tools, genuinely free service tiers and the team's already available $5 OpenAI API credit. The credit is a finite existing resource, not permission to incur additional charges. Disable automatic top-ups, verify account access and actual rates, keep sessions short, inspect usage after tests, and stop model calls if the remaining balance or spend controls are unclear. If a required capability demands payment, switch to the documented fallback rather than purchasing it.</w:t>
      </w:r>
    </w:p>
    <w:p>
      <w:pPr>
        <w:pStyle w:val="Heading1"/>
      </w:pPr>
      <w:r>
        <w:t>12. Definition of success</w:t>
      </w:r>
    </w:p>
    <w:p>
      <w:pPr>
        <w:pStyle w:val="ListBullet"/>
        <w:spacing w:after="40"/>
      </w:pPr>
      <w:r>
        <w:t>One complete browser voice session works reliably in repeated tests.</w:t>
      </w:r>
    </w:p>
    <w:p>
      <w:pPr>
        <w:pStyle w:val="ListBullet"/>
        <w:spacing w:after="40"/>
      </w:pPr>
      <w:r>
        <w:t>An over-budget offer is rejected by backend code.</w:t>
      </w:r>
    </w:p>
    <w:p>
      <w:pPr>
        <w:pStyle w:val="ListBullet"/>
        <w:spacing w:after="40"/>
      </w:pPr>
      <w:r>
        <w:t>Every verified material term links to a source transcript turn.</w:t>
      </w:r>
    </w:p>
    <w:p>
      <w:pPr>
        <w:pStyle w:val="ListBullet"/>
        <w:spacing w:after="40"/>
      </w:pPr>
      <w:r>
        <w:t>Two offers can be compared with correct total-cost arithmetic.</w:t>
      </w:r>
    </w:p>
    <w:p>
      <w:pPr>
        <w:pStyle w:val="ListBullet"/>
        <w:spacing w:after="40"/>
      </w:pPr>
      <w:r>
        <w:t>The recommendation explains why the winner is eligible and why alternatives lose.</w:t>
      </w:r>
    </w:p>
    <w:p>
      <w:pPr>
        <w:pStyle w:val="ListBullet"/>
        <w:spacing w:after="40"/>
      </w:pPr>
      <w:r>
        <w:t>MongoDB records survive refresh and can be inspected during judging.</w:t>
      </w:r>
    </w:p>
    <w:p>
      <w:pPr>
        <w:pStyle w:val="ListBullet"/>
        <w:spacing w:after="40"/>
      </w:pPr>
      <w:r>
        <w:t>Fallback modes are labelled honestly and require no extra spend.</w:t>
      </w:r>
    </w:p>
    <w:p>
      <w:pPr>
        <w:pStyle w:val="Heading1"/>
      </w:pPr>
      <w:r>
        <w:t>13. Key risks and mitigations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6324F"/>
            <w:vAlign w:val="center"/>
          </w:tcPr>
          <w:p>
            <w:pPr>
              <w:spacing w:after="40"/>
            </w:pPr>
            <w:r/>
            <w:r>
              <w:rPr>
                <w:b/>
                <w:color w:val="FFFFFF"/>
                <w:sz w:val="17"/>
              </w:rPr>
              <w:t>Risk</w:t>
            </w:r>
          </w:p>
        </w:tc>
        <w:tc>
          <w:tcPr>
            <w:tcW w:type="dxa" w:w="3331"/>
            <w:shd w:fill="16324F"/>
            <w:vAlign w:val="center"/>
          </w:tcPr>
          <w:p>
            <w:pPr>
              <w:spacing w:after="40"/>
            </w:pPr>
            <w:r/>
            <w:r>
              <w:rPr>
                <w:b/>
                <w:color w:val="FFFFFF"/>
                <w:sz w:val="17"/>
              </w:rPr>
              <w:t>Impact</w:t>
            </w:r>
          </w:p>
        </w:tc>
        <w:tc>
          <w:tcPr>
            <w:tcW w:type="dxa" w:w="3331"/>
            <w:shd w:fill="16324F"/>
            <w:vAlign w:val="center"/>
          </w:tcPr>
          <w:p>
            <w:pPr>
              <w:spacing w:after="40"/>
            </w:pPr>
            <w:r/>
            <w:r>
              <w:rPr>
                <w:b/>
                <w:color w:val="FFFFFF"/>
                <w:sz w:val="17"/>
              </w:rPr>
              <w:t>Mitigation</w:t>
            </w:r>
          </w:p>
        </w:tc>
      </w:tr>
      <w:tr>
        <w:tc>
          <w:tcPr>
            <w:tcW w:type="dxa" w:w="3331"/>
            <w:vAlign w:val="center"/>
          </w:tcPr>
          <w:p>
            <w:pPr>
              <w:spacing w:after="40"/>
            </w:pPr>
            <w:r/>
            <w:r>
              <w:rPr>
                <w:b w:val="0"/>
                <w:sz w:val="16"/>
              </w:rPr>
              <w:t>Realtime model unavailable to API account</w:t>
            </w:r>
          </w:p>
        </w:tc>
        <w:tc>
          <w:tcPr>
            <w:tcW w:type="dxa" w:w="3331"/>
            <w:vAlign w:val="center"/>
          </w:tcPr>
          <w:p>
            <w:pPr>
              <w:spacing w:after="40"/>
            </w:pPr>
            <w:r/>
            <w:r>
              <w:rPr>
                <w:b w:val="0"/>
                <w:sz w:val="16"/>
              </w:rPr>
              <w:t>Critical</w:t>
            </w:r>
          </w:p>
        </w:tc>
        <w:tc>
          <w:tcPr>
            <w:tcW w:type="dxa" w:w="3331"/>
            <w:vAlign w:val="center"/>
          </w:tcPr>
          <w:p>
            <w:pPr>
              <w:spacing w:after="40"/>
            </w:pPr>
            <w:r/>
            <w:r>
              <w:rPr>
                <w:b w:val="0"/>
                <w:sz w:val="16"/>
              </w:rPr>
              <w:t>Validate access first; use supported model only after confirming availability; activate fallback if blocked.</w:t>
            </w:r>
          </w:p>
        </w:tc>
      </w:tr>
      <w:tr>
        <w:tc>
          <w:tcPr>
            <w:tcW w:type="dxa" w:w="3331"/>
            <w:shd w:fill="F5F8FA"/>
            <w:vAlign w:val="center"/>
          </w:tcPr>
          <w:p>
            <w:pPr>
              <w:spacing w:after="40"/>
            </w:pPr>
            <w:r/>
            <w:r>
              <w:rPr>
                <w:b w:val="0"/>
                <w:sz w:val="16"/>
              </w:rPr>
              <w:t>Voice stack integration consumes too much time</w:t>
            </w:r>
          </w:p>
        </w:tc>
        <w:tc>
          <w:tcPr>
            <w:tcW w:type="dxa" w:w="3331"/>
            <w:shd w:fill="F5F8FA"/>
            <w:vAlign w:val="center"/>
          </w:tcPr>
          <w:p>
            <w:pPr>
              <w:spacing w:after="40"/>
            </w:pPr>
            <w:r/>
            <w:r>
              <w:rPr>
                <w:b w:val="0"/>
                <w:sz w:val="16"/>
              </w:rPr>
              <w:t>Critical</w:t>
            </w:r>
          </w:p>
        </w:tc>
        <w:tc>
          <w:tcPr>
            <w:tcW w:type="dxa" w:w="3331"/>
            <w:shd w:fill="F5F8FA"/>
            <w:vAlign w:val="center"/>
          </w:tcPr>
          <w:p>
            <w:pPr>
              <w:spacing w:after="40"/>
            </w:pPr>
            <w:r/>
            <w:r>
              <w:rPr>
                <w:b w:val="0"/>
                <w:sz w:val="16"/>
              </w:rPr>
              <w:t>45-minute spike gate; prove mic, response and tool call before product work.</w:t>
            </w:r>
          </w:p>
        </w:tc>
      </w:tr>
      <w:tr>
        <w:tc>
          <w:tcPr>
            <w:tcW w:type="dxa" w:w="3331"/>
            <w:vAlign w:val="center"/>
          </w:tcPr>
          <w:p>
            <w:pPr>
              <w:spacing w:after="40"/>
            </w:pPr>
            <w:r/>
            <w:r>
              <w:rPr>
                <w:b w:val="0"/>
                <w:sz w:val="16"/>
              </w:rPr>
              <w:t>Evidence extraction is inaccurate</w:t>
            </w:r>
          </w:p>
        </w:tc>
        <w:tc>
          <w:tcPr>
            <w:tcW w:type="dxa" w:w="3331"/>
            <w:vAlign w:val="center"/>
          </w:tcPr>
          <w:p>
            <w:pPr>
              <w:spacing w:after="40"/>
            </w:pPr>
            <w:r/>
            <w:r>
              <w:rPr>
                <w:b w:val="0"/>
                <w:sz w:val="16"/>
              </w:rPr>
              <w:t>High</w:t>
            </w:r>
          </w:p>
        </w:tc>
        <w:tc>
          <w:tcPr>
            <w:tcW w:type="dxa" w:w="3331"/>
            <w:vAlign w:val="center"/>
          </w:tcPr>
          <w:p>
            <w:pPr>
              <w:spacing w:after="40"/>
            </w:pPr>
            <w:r/>
            <w:r>
              <w:rPr>
                <w:b w:val="0"/>
                <w:sz w:val="16"/>
              </w:rPr>
              <w:t>Source-turn references, unverified state, manual review and adversarial tests.</w:t>
            </w:r>
          </w:p>
        </w:tc>
      </w:tr>
      <w:tr>
        <w:tc>
          <w:tcPr>
            <w:tcW w:type="dxa" w:w="3331"/>
            <w:shd w:fill="F5F8FA"/>
            <w:vAlign w:val="center"/>
          </w:tcPr>
          <w:p>
            <w:pPr>
              <w:spacing w:after="40"/>
            </w:pPr>
            <w:r/>
            <w:r>
              <w:rPr>
                <w:b w:val="0"/>
                <w:sz w:val="16"/>
              </w:rPr>
              <w:t>API credit is exhausted</w:t>
            </w:r>
          </w:p>
        </w:tc>
        <w:tc>
          <w:tcPr>
            <w:tcW w:type="dxa" w:w="3331"/>
            <w:shd w:fill="F5F8FA"/>
            <w:vAlign w:val="center"/>
          </w:tcPr>
          <w:p>
            <w:pPr>
              <w:spacing w:after="40"/>
            </w:pPr>
            <w:r/>
            <w:r>
              <w:rPr>
                <w:b w:val="0"/>
                <w:sz w:val="16"/>
              </w:rPr>
              <w:t>High</w:t>
            </w:r>
          </w:p>
        </w:tc>
        <w:tc>
          <w:tcPr>
            <w:tcW w:type="dxa" w:w="3331"/>
            <w:shd w:fill="F5F8FA"/>
            <w:vAlign w:val="center"/>
          </w:tcPr>
          <w:p>
            <w:pPr>
              <w:spacing w:after="40"/>
            </w:pPr>
            <w:r/>
            <w:r>
              <w:rPr>
                <w:b w:val="0"/>
                <w:sz w:val="16"/>
              </w:rPr>
              <w:t>Short test sessions, inspect usage, no auto top-up, browser speech/text fallback.</w:t>
            </w:r>
          </w:p>
        </w:tc>
      </w:tr>
      <w:tr>
        <w:tc>
          <w:tcPr>
            <w:tcW w:type="dxa" w:w="3331"/>
            <w:vAlign w:val="center"/>
          </w:tcPr>
          <w:p>
            <w:pPr>
              <w:spacing w:after="40"/>
            </w:pPr>
            <w:r/>
            <w:r>
              <w:rPr>
                <w:b w:val="0"/>
                <w:sz w:val="16"/>
              </w:rPr>
              <w:t>MongoDB connection fails</w:t>
            </w:r>
          </w:p>
        </w:tc>
        <w:tc>
          <w:tcPr>
            <w:tcW w:type="dxa" w:w="3331"/>
            <w:vAlign w:val="center"/>
          </w:tcPr>
          <w:p>
            <w:pPr>
              <w:spacing w:after="40"/>
            </w:pPr>
            <w:r/>
            <w:r>
              <w:rPr>
                <w:b w:val="0"/>
                <w:sz w:val="16"/>
              </w:rPr>
              <w:t>Medium</w:t>
            </w:r>
          </w:p>
        </w:tc>
        <w:tc>
          <w:tcPr>
            <w:tcW w:type="dxa" w:w="3331"/>
            <w:vAlign w:val="center"/>
          </w:tcPr>
          <w:p>
            <w:pPr>
              <w:spacing w:after="40"/>
            </w:pPr>
            <w:r/>
            <w:r>
              <w:rPr>
                <w:b w:val="0"/>
                <w:sz w:val="16"/>
              </w:rPr>
              <w:t>Keep a local MongoDB option and seed script; never block policy tests on cloud provisioning.</w:t>
            </w:r>
          </w:p>
        </w:tc>
      </w:tr>
      <w:tr>
        <w:tc>
          <w:tcPr>
            <w:tcW w:type="dxa" w:w="3331"/>
            <w:shd w:fill="F5F8FA"/>
            <w:vAlign w:val="center"/>
          </w:tcPr>
          <w:p>
            <w:pPr>
              <w:spacing w:after="40"/>
            </w:pPr>
            <w:r/>
            <w:r>
              <w:rPr>
                <w:b w:val="0"/>
                <w:sz w:val="16"/>
              </w:rPr>
              <w:t>Network or WebRTC failure during judging</w:t>
            </w:r>
          </w:p>
        </w:tc>
        <w:tc>
          <w:tcPr>
            <w:tcW w:type="dxa" w:w="3331"/>
            <w:shd w:fill="F5F8FA"/>
            <w:vAlign w:val="center"/>
          </w:tcPr>
          <w:p>
            <w:pPr>
              <w:spacing w:after="40"/>
            </w:pPr>
            <w:r/>
            <w:r>
              <w:rPr>
                <w:b w:val="0"/>
                <w:sz w:val="16"/>
              </w:rPr>
              <w:t>High</w:t>
            </w:r>
          </w:p>
        </w:tc>
        <w:tc>
          <w:tcPr>
            <w:tcW w:type="dxa" w:w="3331"/>
            <w:shd w:fill="F5F8FA"/>
            <w:vAlign w:val="center"/>
          </w:tcPr>
          <w:p>
            <w:pPr>
              <w:spacing w:after="40"/>
            </w:pPr>
            <w:r/>
            <w:r>
              <w:rPr>
                <w:b w:val="0"/>
                <w:sz w:val="16"/>
              </w:rPr>
              <w:t>Test same network, prepare labelled replay/test mode, do not represent it as live voice.</w:t>
            </w:r>
          </w:p>
        </w:tc>
      </w:tr>
    </w:tbl>
    <w:p/>
    <w:p>
      <w:pPr>
        <w:pStyle w:val="Heading1"/>
      </w:pPr>
      <w:r>
        <w:t>14. Decision log</w:t>
      </w:r>
    </w:p>
    <w:p>
      <w:pPr>
        <w:pStyle w:val="ListBullet"/>
        <w:spacing w:after="40"/>
      </w:pPr>
      <w:r>
        <w:t>Product direction: proof-first procurement negotiation.</w:t>
      </w:r>
    </w:p>
    <w:p>
      <w:pPr>
        <w:pStyle w:val="ListBullet"/>
        <w:spacing w:after="40"/>
      </w:pPr>
      <w:r>
        <w:t>Demo mode: browser/WebRTC with a consenting simulated merchant, not PSTN.</w:t>
      </w:r>
    </w:p>
    <w:p>
      <w:pPr>
        <w:pStyle w:val="ListBullet"/>
        <w:spacing w:after="40"/>
      </w:pPr>
      <w:r>
        <w:t>Core differentiator: backend-enforced negotiation policy plus evidence provenance and explainable recommendation.</w:t>
      </w:r>
    </w:p>
    <w:p>
      <w:pPr>
        <w:pStyle w:val="ListBullet"/>
        <w:spacing w:after="40"/>
      </w:pPr>
      <w:r>
        <w:t>Spend: ₹0 new spend; existing $5 OpenAI credit is a capped resource.</w:t>
      </w:r>
    </w:p>
    <w:p>
      <w:pPr>
        <w:pStyle w:val="ListBullet"/>
        <w:spacing w:after="40"/>
      </w:pPr>
      <w:r>
        <w:t>Unresolved technical gate: verify exact realtime model name, project access, pricing, SDK compatibility and current free-tier limits before implementation.</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Internal working document • Zero-new-spend constraint • Validate provider limits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THE NEGOTIATOR  |  CHAOS HACKATHON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7A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32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