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Justification</w:t>
      </w:r>
    </w:p>
    <w:p>
      <w:r>
        <w:t>Student Club Event Ticketing and Budget Portal</w:t>
      </w:r>
    </w:p>
    <w:p>
      <w:r>
        <w:t>Shishir Hegde | SRN PES1UG24CS438 | Section 5H</w:t>
      </w:r>
    </w:p>
    <w:p>
      <w:pPr>
        <w:pStyle w:val="Heading1"/>
      </w:pPr>
      <w:r>
        <w:t>Architecture selection</w:t>
      </w:r>
    </w:p>
    <w:p>
      <w:r>
        <w:t>I chose a layered architecture for the Student Club Event Ticketing and Budget Portal. The browser handles the forms and display, the application handles the event rules, and a database stores the records. The prototype runs as one Flask application with SQLite. It is also client-server in deployment: browsers send requests to one application server.</w:t>
      </w:r>
    </w:p>
    <w:p>
      <w:pPr>
        <w:pStyle w:val="Heading1"/>
      </w:pPr>
      <w:r>
        <w:t>Reasons for the choice</w:t>
      </w:r>
    </w:p>
    <w:p>
      <w:r>
        <w:t>First, the portal has clear groups of work: proposals, approvals, tickets and check-in. Keeping these rules separate from the pages makes it easier to change a form without changing the approval process. It also makes the important rules easier to test.</w:t>
      </w:r>
    </w:p>
    <w:p>
      <w:r>
        <w:t>Second, this is a small individual project. A single application is easier to run and debug than several services. Approval records and budget reservations can share one database transaction, so a half-completed request is less likely to leave inconsistent data.</w:t>
      </w:r>
    </w:p>
    <w:p>
      <w:pPr>
        <w:pStyle w:val="Heading1"/>
      </w:pPr>
      <w:r>
        <w:t>Security advantage</w:t>
      </w:r>
    </w:p>
    <w:p>
      <w:r>
        <w:t>The browser cannot directly update the database. The application checks the logged-in role before changing a request or validating a ticket. Signed QR data makes changes to the ticket detectable, and a conditional database update prevents a second entry with the same ticket.</w:t>
      </w:r>
    </w:p>
    <w:p>
      <w:pPr>
        <w:pStyle w:val="Heading1"/>
      </w:pPr>
      <w:r>
        <w:t>Performance benefit and limitation</w:t>
      </w:r>
    </w:p>
    <w:p>
      <w:r>
        <w:t>The business components call each other locally, avoiding extra network calls between services. Indexed ticket lookups keep validation simple. This does not guarantee the required latency: SQLite serialises writes, and the 500-user target needs load testing. The local measurements are reported in the testing folder.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PES1UG24CS438 | 5H                          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Justification</dc:title>
  <dc:subject/>
  <dc:creator>Shishir Hegde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