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Лабораторная работа 5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Студента 4 курса 12 группы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Жумигиной Евгении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В результате данной лабораторной работы была рассмотрена система edu.fpmi, используемая как система для дистанционного обучения студентов БГУ.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Для должного исследования необходимо создать виртуальное окружение для системе и запустить ее локально.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Для тестирования системы на уязвимости воспользуемся программой OWASP ZAP. Во время тестирования можно заметить большое количество запросов на сайт, что обеспечивает проверку всех возможных уязвимых мест на сайте и возможное обнаружение злоумышленника.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5940425" cy="83312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Рассмотрим некоторые уязвимости 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4820578" cy="3718363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0578" cy="371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Одна из уязвимостей заключается в не совсем корректном использовании SQL запроса и его обработки. Для устранения этой уязвимости можно использовать PreparedStatement или CallableStatement.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Рассмотрим некоторые другие уязвимости: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4719948" cy="3989378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948" cy="3989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Подобная уязвимость может быть использована при атаке Кликджекингом(пользователь получает ссылку на вредоносный контент, что дает возможность получения доступа к аккаунту пользователя. Данный тип атаки используется для получения доступа к функции автозаполнения менеджера паролей. Для устранения уязвимости необходимо использовать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HTTP-заголовок X-Frame-Options.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4856665" cy="408884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6665" cy="408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Следующая уязвимость заключается в «подделке» межсайтовых запросов. Браузер отправляет токены аутентификации с каждым новым запросом, от лица жетвы на сайте злоумышленника отправляется запрос на другой сервер, который осуществляет вредоносные операции. Данная уязвимость исправляется путем добавления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AntiforgeryFieldName.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4871949" cy="4038692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1949" cy="4038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Следующая уязвимость(как и некоторые последующие) заключается в отсутствии необходимых HTTP-флагов и хэдеров, что решается простым их добавлением.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4902473" cy="4102251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2473" cy="4102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903947" cy="4188406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3947" cy="4188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После исправления уязвимостей получим обновленный отчет.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GKl2if43tdYj1JLmTdjDqKBGjQ==">AMUW2mVY6onChMGJpyQya0xkfEJfYgl2FCrf1cbBHQU2cSb8Pq9Wy5fozUH6qDoqwGBFFH0PCjsF0S1vFKRtOzcaVUvQ8QmCGwMPjc6MOI90oC3A2AIwsxw=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2020-12-28T18:49:00Z</dcterms:created>
  <dc:creator>Yevgenia Zhumigina</dc:creator>
</cp:coreProperties>
</file>