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6"/>
        <w:ind w:left="0" w:right="0"/>
      </w:pPr>
    </w:p>
    <w:p>
      <w:pPr>
        <w:autoSpaceDN w:val="0"/>
        <w:tabs>
          <w:tab w:pos="2418" w:val="left"/>
        </w:tabs>
        <w:autoSpaceDE w:val="0"/>
        <w:widowControl/>
        <w:spacing w:line="366" w:lineRule="exact" w:before="450" w:after="0"/>
        <w:ind w:left="866" w:right="864" w:firstLine="0"/>
        <w:jc w:val="left"/>
      </w:pPr>
      <w:r>
        <w:rPr>
          <w:rFonts w:ascii="Times" w:hAnsi="Times" w:eastAsia="Times"/>
          <w:b w:val="0"/>
          <w:i w:val="0"/>
          <w:color w:val="010101"/>
          <w:sz w:val="48"/>
        </w:rPr>
        <w:t xml:space="preserve">Aplicações Bancárias e de Pagamento Online </w:t>
      </w:r>
      <w:r>
        <w:tab/>
      </w:r>
      <w:r>
        <w:rPr>
          <w:rFonts w:ascii="Times" w:hAnsi="Times" w:eastAsia="Times"/>
          <w:b w:val="0"/>
          <w:i w:val="0"/>
          <w:color w:val="010101"/>
          <w:sz w:val="28"/>
        </w:rPr>
        <w:t xml:space="preserve">Quão Benéficas Para a Sociedade do Século XXI? </w:t>
      </w:r>
    </w:p>
    <w:p>
      <w:pPr>
        <w:autoSpaceDN w:val="0"/>
        <w:autoSpaceDE w:val="0"/>
        <w:widowControl/>
        <w:spacing w:line="638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10101"/>
          <w:sz w:val="48"/>
        </w:rPr>
        <w:t xml:space="preserve">Bank and online payment apps </w:t>
      </w:r>
    </w:p>
    <w:p>
      <w:pPr>
        <w:autoSpaceDN w:val="0"/>
        <w:autoSpaceDE w:val="0"/>
        <w:widowControl/>
        <w:spacing w:line="370" w:lineRule="exact" w:before="52" w:after="4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10101"/>
          <w:sz w:val="28"/>
        </w:rPr>
        <w:t xml:space="preserve">How beneficial to society in the XXI century? </w:t>
      </w:r>
    </w:p>
    <w:p>
      <w:pPr>
        <w:sectPr>
          <w:pgSz w:w="11904" w:h="16840"/>
          <w:pgMar w:top="456" w:right="656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104" w:after="0"/>
        <w:ind w:left="0" w:right="288" w:firstLine="0"/>
        <w:jc w:val="center"/>
      </w:pPr>
      <w:r>
        <w:rPr>
          <w:rFonts w:ascii="Times" w:hAnsi="Times" w:eastAsia="Times"/>
          <w:b w:val="0"/>
          <w:i w:val="0"/>
          <w:color w:val="010101"/>
          <w:sz w:val="22"/>
        </w:rPr>
        <w:t xml:space="preserve">Sandra Duarte, Madalena Costa, Madalena Brito, </w:t>
      </w:r>
      <w:r>
        <w:br/>
      </w:r>
      <w:r>
        <w:rPr>
          <w:rFonts w:ascii="Times" w:hAnsi="Times" w:eastAsia="Times"/>
          <w:b w:val="0"/>
          <w:i w:val="0"/>
          <w:color w:val="010101"/>
          <w:sz w:val="22"/>
        </w:rPr>
        <w:t xml:space="preserve">Adriana Miranda </w:t>
      </w:r>
      <w:r>
        <w:br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Departamento de Economia, Gestão, Engenharia Industrial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Turismo, Universidade de Aveiro, Aveiro, Portugal </w:t>
      </w:r>
      <w:r>
        <w:br/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sandrapad@ua.pt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madalenatcosta@ua.pt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mad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alenasaragoca@u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a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.pt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adrianavmiranda@</w:t>
      </w: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ua.pt</w:t>
      </w:r>
    </w:p>
    <w:p>
      <w:pPr>
        <w:autoSpaceDN w:val="0"/>
        <w:autoSpaceDE w:val="0"/>
        <w:widowControl/>
        <w:spacing w:line="208" w:lineRule="exact" w:before="240" w:after="0"/>
        <w:ind w:left="12" w:right="336" w:firstLine="0"/>
        <w:jc w:val="both"/>
      </w:pPr>
      <w:r>
        <w:rPr>
          <w:w w:val="101.30554835001628"/>
          <w:rFonts w:ascii="Arial" w:hAnsi="Arial" w:eastAsia="Arial"/>
          <w:b w:val="0"/>
          <w:i/>
          <w:color w:val="010101"/>
          <w:sz w:val="18"/>
        </w:rPr>
        <w:t xml:space="preserve">Resumo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- Nesta era da tecnologia, da informação, da inovação,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e de tantas outras características que poderiam ser-lhe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associadas, é necessário rever os benefícios e os riscos associados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a esta mudança. A questão que deu origem a este artigo é: a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facilidade que nos é concedida através dos diversos mecanismos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online altera a nossa capacidade de perceção no momento de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decisão de compra? Ou seja, através de uma ótica financeira, a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facilidade e a rapidez com que nos é permitido efetuar um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pagamento via internet influencia o ato de compra do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consumidor? Através da análise de diversas aplicações móveis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disponíveis para o efeito acima mencionado, bem como de um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inquérito/questionário, que obteve 137 respostas provenientes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de diversas faixas etárias e ocupações, iremos apresentar uma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breve conclusão acerca desta temática, com o objetivo de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contribuir para uma melhor e mais ampla compreensão dos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benefícios, riscos, vantagens e desvantagens das tão conhecidas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aplicações bancárias que, cada vez mais, emergem no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quotidiano dos portugueses. Os resultados deste estudo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exploratório revelam a importância de uma maior e melhor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instrução no momento de passar a utilizar estas ferramentas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inovadoras, de modo a não se ser um mero refém dos seus riscos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e aproveitar a plenitude dos seus benefícios. </w:t>
      </w:r>
    </w:p>
    <w:p>
      <w:pPr>
        <w:autoSpaceDN w:val="0"/>
        <w:tabs>
          <w:tab w:pos="300" w:val="left"/>
        </w:tabs>
        <w:autoSpaceDE w:val="0"/>
        <w:widowControl/>
        <w:spacing w:line="206" w:lineRule="exact" w:before="198" w:after="0"/>
        <w:ind w:left="12" w:right="288" w:firstLine="0"/>
        <w:jc w:val="left"/>
      </w:pPr>
      <w:r>
        <w:rPr>
          <w:w w:val="101.30554835001628"/>
          <w:rFonts w:ascii="Times" w:hAnsi="Times" w:eastAsia="Times"/>
          <w:b/>
          <w:i/>
          <w:color w:val="010101"/>
          <w:sz w:val="18"/>
        </w:rPr>
        <w:t xml:space="preserve">Palavras-chave - mobile banking; aplicações bancárias; </w:t>
      </w:r>
      <w:r>
        <w:rPr>
          <w:w w:val="101.30554835001628"/>
          <w:rFonts w:ascii="Times" w:hAnsi="Times" w:eastAsia="Times"/>
          <w:b/>
          <w:i/>
          <w:color w:val="010101"/>
          <w:sz w:val="18"/>
        </w:rPr>
        <w:t xml:space="preserve">bancos; consumo; inovação; tecnologia. </w:t>
      </w:r>
    </w:p>
    <w:p>
      <w:pPr>
        <w:autoSpaceDN w:val="0"/>
        <w:autoSpaceDE w:val="0"/>
        <w:widowControl/>
        <w:spacing w:line="206" w:lineRule="exact" w:before="144" w:after="0"/>
        <w:ind w:left="12" w:right="336" w:firstLine="0"/>
        <w:jc w:val="both"/>
      </w:pPr>
      <w:r>
        <w:rPr>
          <w:w w:val="101.30554835001628"/>
          <w:rFonts w:ascii="Times" w:hAnsi="Times" w:eastAsia="Times"/>
          <w:b w:val="0"/>
          <w:i/>
          <w:color w:val="010101"/>
          <w:sz w:val="18"/>
        </w:rPr>
        <w:t>Abstract</w:t>
      </w:r>
      <w:r>
        <w:rPr>
          <w:w w:val="101.30554835001628"/>
          <w:rFonts w:ascii="Times" w:hAnsi="Times" w:eastAsia="Times"/>
          <w:b w:val="0"/>
          <w:i w:val="0"/>
          <w:color w:val="010101"/>
          <w:sz w:val="18"/>
        </w:rPr>
        <w:t xml:space="preserve"> -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In this age of technology, information, innovation, and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so many other features that could be associated with it, it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becomes necessary to review the benefits and risks associated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with this change. The question that guides this article is: Does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the easiness granted to us, through the many online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mechanisms, affect our ability to perceive at the moment of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making a purchase decision? Rather, from a financial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perspective, is the quick and easy way that the internet allows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the consumer to make a payment influencing the consumers’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buying act? Through the analysis of various mobile applications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available for the aforementioned purpose, as well as a survey,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that featured 137 answers from various age groups and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occupations, we will present a brief conclusion about this theme,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aiming to contribute to a better and broader understanding of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the benefits, risks, advantages and disadvantages of these so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well-known banking applications that increasingly stand out in </w:t>
      </w: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the daily lives of the Portuguese. The results of this exploratory </w:t>
      </w:r>
    </w:p>
    <w:p>
      <w:pPr>
        <w:sectPr>
          <w:type w:val="continuous"/>
          <w:pgSz w:w="11904" w:h="16840"/>
          <w:pgMar w:top="456" w:right="656" w:bottom="198" w:left="718" w:header="720" w:footer="720" w:gutter="0"/>
          <w:cols w:num="2" w:equalWidth="0">
            <w:col w:w="5258" w:space="0"/>
            <w:col w:w="5271" w:space="0"/>
          </w:cols>
          <w:docGrid w:linePitch="360"/>
        </w:sectPr>
      </w:pPr>
    </w:p>
    <w:p>
      <w:pPr>
        <w:autoSpaceDN w:val="0"/>
        <w:autoSpaceDE w:val="0"/>
        <w:widowControl/>
        <w:spacing w:line="374" w:lineRule="exact" w:before="0" w:after="0"/>
        <w:ind w:left="0" w:right="1330" w:firstLine="0"/>
        <w:jc w:val="right"/>
      </w:pPr>
      <w:r>
        <w:rPr>
          <w:rFonts w:ascii="Times" w:hAnsi="Times" w:eastAsia="Times"/>
          <w:b w:val="0"/>
          <w:i w:val="0"/>
          <w:color w:val="010101"/>
          <w:sz w:val="22"/>
        </w:rPr>
        <w:t>Manuel Au-Yong-Oliveira</w:t>
      </w:r>
    </w:p>
    <w:p>
      <w:pPr>
        <w:autoSpaceDN w:val="0"/>
        <w:autoSpaceDE w:val="0"/>
        <w:widowControl/>
        <w:spacing w:line="342" w:lineRule="exact" w:before="0" w:after="0"/>
        <w:ind w:left="778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GOVCOPP, Departamento de Economia, Gestão, </w:t>
      </w:r>
    </w:p>
    <w:p>
      <w:pPr>
        <w:autoSpaceDN w:val="0"/>
        <w:autoSpaceDE w:val="0"/>
        <w:widowControl/>
        <w:spacing w:line="342" w:lineRule="exact" w:before="0" w:after="0"/>
        <w:ind w:left="436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Engenharia Industrial e Turismo, Universidade de Aveiro, </w:t>
      </w:r>
    </w:p>
    <w:p>
      <w:pPr>
        <w:autoSpaceDN w:val="0"/>
        <w:autoSpaceDE w:val="0"/>
        <w:widowControl/>
        <w:spacing w:line="344" w:lineRule="exact" w:before="0" w:after="0"/>
        <w:ind w:left="0" w:right="1790" w:firstLine="0"/>
        <w:jc w:val="righ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Aveiro, Portugal </w:t>
      </w:r>
    </w:p>
    <w:p>
      <w:pPr>
        <w:autoSpaceDN w:val="0"/>
        <w:autoSpaceDE w:val="0"/>
        <w:widowControl/>
        <w:spacing w:line="344" w:lineRule="exact" w:before="0" w:after="0"/>
        <w:ind w:left="0" w:right="2044" w:firstLine="0"/>
        <w:jc w:val="right"/>
      </w:pPr>
      <w:r>
        <w:rPr>
          <w:rFonts w:ascii="Times" w:hAnsi="Times" w:eastAsia="Times"/>
          <w:b w:val="0"/>
          <w:i w:val="0"/>
          <w:color w:val="3452A4"/>
          <w:sz w:val="20"/>
          <w:u w:val="single"/>
        </w:rPr>
        <w:t>mao@ua.pt</w:t>
      </w:r>
    </w:p>
    <w:p>
      <w:pPr>
        <w:autoSpaceDN w:val="0"/>
        <w:autoSpaceDE w:val="0"/>
        <w:widowControl/>
        <w:spacing w:line="252" w:lineRule="exact" w:before="220" w:after="0"/>
        <w:ind w:left="336" w:right="0" w:firstLine="0"/>
        <w:jc w:val="left"/>
      </w:pP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study reveal the importance of a greater and better instruction </w:t>
      </w:r>
    </w:p>
    <w:p>
      <w:pPr>
        <w:autoSpaceDN w:val="0"/>
        <w:autoSpaceDE w:val="0"/>
        <w:widowControl/>
        <w:spacing w:line="252" w:lineRule="exact" w:before="0" w:after="0"/>
        <w:ind w:left="336" w:right="0" w:firstLine="0"/>
        <w:jc w:val="left"/>
      </w:pP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when using these innovative tools, so the user can stop being </w:t>
      </w:r>
    </w:p>
    <w:p>
      <w:pPr>
        <w:autoSpaceDN w:val="0"/>
        <w:autoSpaceDE w:val="0"/>
        <w:widowControl/>
        <w:spacing w:line="252" w:lineRule="exact" w:before="0" w:after="0"/>
        <w:ind w:left="336" w:right="0" w:firstLine="0"/>
        <w:jc w:val="left"/>
      </w:pP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merely a hostage to their risks and begin to fully enjoy the </w:t>
      </w:r>
    </w:p>
    <w:p>
      <w:pPr>
        <w:autoSpaceDN w:val="0"/>
        <w:autoSpaceDE w:val="0"/>
        <w:widowControl/>
        <w:spacing w:line="252" w:lineRule="exact" w:before="0" w:after="0"/>
        <w:ind w:left="336" w:right="0" w:firstLine="0"/>
        <w:jc w:val="left"/>
      </w:pPr>
      <w:r>
        <w:rPr>
          <w:w w:val="101.30554835001628"/>
          <w:rFonts w:ascii="Times" w:hAnsi="Times" w:eastAsia="Times"/>
          <w:b/>
          <w:i w:val="0"/>
          <w:color w:val="010101"/>
          <w:sz w:val="18"/>
        </w:rPr>
        <w:t xml:space="preserve">benefits. </w:t>
      </w:r>
    </w:p>
    <w:p>
      <w:pPr>
        <w:autoSpaceDN w:val="0"/>
        <w:autoSpaceDE w:val="0"/>
        <w:widowControl/>
        <w:spacing w:line="244" w:lineRule="exact" w:before="160" w:after="0"/>
        <w:ind w:left="624" w:right="0" w:firstLine="0"/>
        <w:jc w:val="left"/>
      </w:pPr>
      <w:r>
        <w:rPr>
          <w:w w:val="101.30554835001628"/>
          <w:rFonts w:ascii="Times" w:hAnsi="Times" w:eastAsia="Times"/>
          <w:b/>
          <w:i/>
          <w:color w:val="010101"/>
          <w:sz w:val="18"/>
        </w:rPr>
        <w:t xml:space="preserve">Keywords – mobile banking; banking apps; Banks; consumer; </w:t>
      </w:r>
    </w:p>
    <w:p>
      <w:pPr>
        <w:autoSpaceDN w:val="0"/>
        <w:autoSpaceDE w:val="0"/>
        <w:widowControl/>
        <w:spacing w:line="244" w:lineRule="exact" w:before="0" w:after="0"/>
        <w:ind w:left="336" w:right="0" w:firstLine="0"/>
        <w:jc w:val="left"/>
      </w:pPr>
      <w:r>
        <w:rPr>
          <w:w w:val="101.30554835001628"/>
          <w:rFonts w:ascii="Times" w:hAnsi="Times" w:eastAsia="Times"/>
          <w:b/>
          <w:i/>
          <w:color w:val="010101"/>
          <w:sz w:val="18"/>
        </w:rPr>
        <w:t xml:space="preserve">innovation; technology. </w:t>
      </w:r>
    </w:p>
    <w:p>
      <w:pPr>
        <w:autoSpaceDN w:val="0"/>
        <w:tabs>
          <w:tab w:pos="2698" w:val="left"/>
        </w:tabs>
        <w:autoSpaceDE w:val="0"/>
        <w:widowControl/>
        <w:spacing w:line="342" w:lineRule="exact" w:before="72" w:after="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>I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NTRODUÇÃO</w:t>
      </w:r>
    </w:p>
    <w:p>
      <w:pPr>
        <w:autoSpaceDN w:val="0"/>
        <w:autoSpaceDE w:val="0"/>
        <w:widowControl/>
        <w:spacing w:line="220" w:lineRule="exact" w:before="122" w:after="0"/>
        <w:ind w:left="336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Com a evolução tecnológica que se vem fazendo sentir nas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últimas décadas, deu-se também uma alteração ao nível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sistema financeiro, onde os próprios serviços bancários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deixaram de estar confinados a um determinado espaço físico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[1]. </w:t>
      </w:r>
    </w:p>
    <w:p>
      <w:pPr>
        <w:autoSpaceDN w:val="0"/>
        <w:autoSpaceDE w:val="0"/>
        <w:widowControl/>
        <w:spacing w:line="218" w:lineRule="exact" w:before="124" w:after="0"/>
        <w:ind w:left="336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Simultaneamente, deram-se alterações do ponto de vista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profissional e pessoal dos cidadãos, mudanças estas que,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agregadas às mudanças tecnológicas, conduziram a um novo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cenário ao nível do comércio, com o comércio eletrónico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ganhar força [2], oferecendo assim um conjunto vasto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oportunidades aos cidadãos e às próprias empresas, afetando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tanto a oferta como a procura [3]. Consequentemente,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sistema bancário começou a sentir necessidade de se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modernizar, de modo a incorporar estas novas mudanças e,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assim, dar respostas mais rápidas aos seus clientes [1],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oferecendo-lhes novas e mais diretas formas de pagamentos,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nomeadamente através do chamado de Internet Banking e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Mobile Banking, que permitem realizar um conjunto variado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operações bancárias através da internet e dos dispositivos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móveis [2] [1] e que têm vindo a substituir os serviços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tradicionais [1]. </w:t>
      </w:r>
    </w:p>
    <w:p>
      <w:pPr>
        <w:autoSpaceDN w:val="0"/>
        <w:autoSpaceDE w:val="0"/>
        <w:widowControl/>
        <w:spacing w:line="230" w:lineRule="exact" w:before="116" w:after="1048"/>
        <w:ind w:left="336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Como consequência, tem-se verificado o aparecimento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novas e melhoradas Aplicações Bancárias (comumente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chamadas de Apps Bancárias), onde o cidadão pode, de forma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simples e direta, realizar operações que anteriormente exigiam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 deslocação até aos Bancos ou Caixas Multibanco, tais como,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efetuar pagamentos e fazer transferências, ou até mesmo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utilização de cheques, e que agora só necessitam de acesso à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internet [1]. No entanto, e apesar de hoje se verificar uma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grande aceitação e utilização do </w:t>
      </w:r>
      <w:r>
        <w:rPr>
          <w:rFonts w:ascii="Times" w:hAnsi="Times" w:eastAsia="Times"/>
          <w:b w:val="0"/>
          <w:i/>
          <w:color w:val="010101"/>
          <w:sz w:val="20"/>
        </w:rPr>
        <w:t>Mobile Banking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são a ele </w:t>
      </w:r>
    </w:p>
    <w:p>
      <w:pPr>
        <w:sectPr>
          <w:type w:val="nextColumn"/>
          <w:pgSz w:w="11904" w:h="16840"/>
          <w:pgMar w:top="456" w:right="656" w:bottom="198" w:left="718" w:header="720" w:footer="720" w:gutter="0"/>
          <w:cols w:num="2" w:equalWidth="0">
            <w:col w:w="5258" w:space="0"/>
            <w:col w:w="5271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2" w:right="4752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  <w:r>
        <w:br/>
      </w: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p>
      <w:pPr>
        <w:sectPr>
          <w:type w:val="continuous"/>
          <w:pgSz w:w="11904" w:h="16840"/>
          <w:pgMar w:top="456" w:right="656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0"/>
        <w:ind w:left="0" w:right="0"/>
      </w:pPr>
    </w:p>
    <w:p>
      <w:pPr>
        <w:sectPr>
          <w:pgSz w:w="11904" w:h="16840"/>
          <w:pgMar w:top="498" w:right="656" w:bottom="198" w:left="718" w:header="720" w:footer="720" w:gutter="0"/>
          <w:cols/>
          <w:docGrid w:linePitch="360"/>
        </w:sectPr>
      </w:pPr>
    </w:p>
    <w:p>
      <w:pPr>
        <w:autoSpaceDN w:val="0"/>
        <w:tabs>
          <w:tab w:pos="1314" w:val="left"/>
          <w:tab w:pos="1630" w:val="left"/>
          <w:tab w:pos="2114" w:val="left"/>
          <w:tab w:pos="3108" w:val="left"/>
          <w:tab w:pos="3598" w:val="left"/>
          <w:tab w:pos="4338" w:val="left"/>
        </w:tabs>
        <w:autoSpaceDE w:val="0"/>
        <w:widowControl/>
        <w:spacing w:line="230" w:lineRule="exact" w:before="112" w:after="0"/>
        <w:ind w:left="12" w:right="288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associadas algumas limitações, que originam desconfiança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relativamente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à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sua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utilização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por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alguns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grupos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populacionais, nomeadamente os mais idosos [4].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Através deste artigo o nosso grande objetivo passa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compreender o verdadeiro impacto destas alterações. Por um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lado, procuramos compreender como estas novas formas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pagamento afetam a forma como compramos e a nossa relação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 as lojas. Por outro lado, procuramos compreender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 Mobile Banking tem vindo a alterar a relação das pessoas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 os serviços financeiros e com os serviços tradicionais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estes oferecidos. Para isso, na secção que se segue, a revisão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 literatura, procuramos, através de literatura já existente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sobre o tema, compreender o impacto das inovações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tecnológicas no sistema bancário e no consumo. De seguida,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apresentamos a metodologia adotada para realizar o presente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artigo. Posteriormente, apresentamos e analisamos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informação que obtivemos através do trabalho de campo,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depois discutida juntamente com toda a informação obtida.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Por último, apresentamos as conclusões que nos foi possível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arrecadar. </w:t>
      </w:r>
    </w:p>
    <w:p>
      <w:pPr>
        <w:autoSpaceDN w:val="0"/>
        <w:tabs>
          <w:tab w:pos="1866" w:val="left"/>
        </w:tabs>
        <w:autoSpaceDE w:val="0"/>
        <w:widowControl/>
        <w:spacing w:line="342" w:lineRule="exact" w:before="46" w:after="0"/>
        <w:ind w:left="1146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II. </w:t>
      </w:r>
      <w:r>
        <w:rPr>
          <w:rFonts w:ascii="Times" w:hAnsi="Times" w:eastAsia="Times"/>
          <w:b w:val="0"/>
          <w:i w:val="0"/>
          <w:color w:val="010101"/>
          <w:sz w:val="20"/>
        </w:rPr>
        <w:t>R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EVISÃO </w:t>
      </w:r>
      <w:r>
        <w:rPr>
          <w:rFonts w:ascii="Times" w:hAnsi="Times" w:eastAsia="Times"/>
          <w:b w:val="0"/>
          <w:i w:val="0"/>
          <w:color w:val="010101"/>
          <w:sz w:val="20"/>
        </w:rPr>
        <w:t>D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10101"/>
          <w:sz w:val="20"/>
        </w:rPr>
        <w:t>L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ITERATURA</w:t>
      </w:r>
    </w:p>
    <w:p>
      <w:pPr>
        <w:autoSpaceDN w:val="0"/>
        <w:autoSpaceDE w:val="0"/>
        <w:widowControl/>
        <w:spacing w:line="220" w:lineRule="exact" w:before="122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O desenvolvimento e a inovação tecnológica conduziram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ao surgimento de um conjunto de novos cenários, originando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 chamada ‘economia digital’ [5]. Neste novo contexto,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desenvolvimento de ferramentas relacionadas com 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ambientes digitais ganhou força [6]. </w:t>
      </w:r>
    </w:p>
    <w:p>
      <w:pPr>
        <w:autoSpaceDN w:val="0"/>
        <w:autoSpaceDE w:val="0"/>
        <w:widowControl/>
        <w:spacing w:line="218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Simultaneamente, o acesso a dispositivos móveis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conduziu a alterações ao nível da indústria e originou novos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desafios [4].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Estas mudanças acabaram por influenciar também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sistema financeiro, onde os bancos compreenderam as novas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oportunidades e perceberam a necessidade de, neste novo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contexto, assumirem uma posição mais dinâmica e presente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relativamente aos clientes [7], acabando por revolucionar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sistema [5]. Nesta revolução deu-se o surgimento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chamados de </w:t>
      </w:r>
      <w:r>
        <w:rPr>
          <w:rFonts w:ascii="Times" w:hAnsi="Times" w:eastAsia="Times"/>
          <w:b w:val="0"/>
          <w:i/>
          <w:color w:val="010101"/>
          <w:sz w:val="20"/>
        </w:rPr>
        <w:t>Mobile Financial Services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 [8], que agrega não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só o </w:t>
      </w:r>
      <w:r>
        <w:rPr>
          <w:rFonts w:ascii="Times" w:hAnsi="Times" w:eastAsia="Times"/>
          <w:b w:val="0"/>
          <w:i/>
          <w:color w:val="010101"/>
          <w:sz w:val="20"/>
        </w:rPr>
        <w:t>Mobile Banking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um serviço fornecido pelas instituições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bancárias e que permite realizar pagamentos através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dispositivos móveis [1], mas também o Internet </w:t>
      </w:r>
      <w:r>
        <w:rPr>
          <w:rFonts w:ascii="Times" w:hAnsi="Times" w:eastAsia="Times"/>
          <w:b w:val="0"/>
          <w:i/>
          <w:color w:val="010101"/>
          <w:sz w:val="20"/>
        </w:rPr>
        <w:t>Banking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,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possibilita a realização de um conjunto de operações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financeiras através da internet, desde consultar o saldo de uma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conta até à realização de um pagamento [3], existindo ainda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outros sistemas como o </w:t>
      </w:r>
      <w:r>
        <w:rPr>
          <w:rFonts w:ascii="Times" w:hAnsi="Times" w:eastAsia="Times"/>
          <w:b w:val="0"/>
          <w:i/>
          <w:color w:val="010101"/>
          <w:sz w:val="20"/>
        </w:rPr>
        <w:t>plastic money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 [5]. </w:t>
      </w:r>
    </w:p>
    <w:p>
      <w:pPr>
        <w:autoSpaceDN w:val="0"/>
        <w:autoSpaceDE w:val="0"/>
        <w:widowControl/>
        <w:spacing w:line="218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 inovação que se deu no setor financeiro conduziu a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 online banking influenciasse a utilização tradicional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serviços bancários, nomeadamente nas deslocações aos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bancos, permitindo aos utilizadores poupar tempo, e realizar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 operações com maior rapidez e facilidade [4]. Com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surgimento e desenvolvimento de um mercado online mais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extenso, deram-se também alterações do ponto de vista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comportamento dos consumidores [3]. </w:t>
      </w:r>
    </w:p>
    <w:p>
      <w:pPr>
        <w:autoSpaceDN w:val="0"/>
        <w:autoSpaceDE w:val="0"/>
        <w:widowControl/>
        <w:spacing w:line="218" w:lineRule="exact" w:before="126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Neste contexto, o mobile banking afigura-se como um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método de internet banking que ganhou uma maior atenção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por parte dos consumidores [9] como resultado da facilidade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utilização [8], tornando-se uma nova fonte de rendimento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para os bancos [1] [10]. </w:t>
      </w:r>
    </w:p>
    <w:p>
      <w:pPr>
        <w:sectPr>
          <w:type w:val="continuous"/>
          <w:pgSz w:w="11904" w:h="16840"/>
          <w:pgMar w:top="498" w:right="656" w:bottom="198" w:left="718" w:header="720" w:footer="720" w:gutter="0"/>
          <w:cols w:num="2" w:equalWidth="0">
            <w:col w:w="5262" w:space="0"/>
            <w:col w:w="5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122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Além dos principais agentes envolvidos no processo,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surge um intermediário, as operadoras de telemóvel [4],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disponibilizam os canais necessários para que esta nova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realidade seja possível [7]. </w:t>
      </w:r>
    </w:p>
    <w:p>
      <w:pPr>
        <w:autoSpaceDN w:val="0"/>
        <w:autoSpaceDE w:val="0"/>
        <w:widowControl/>
        <w:spacing w:line="220" w:lineRule="exact" w:before="124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Diversos fatores apresentam-se como decisivos para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utilização, ou não, destes métodos de pagamentos e gestão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contas. Entre eles surge a confiança na instituição, um fator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determinante principalmente na fase inicial de utilização [7].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 risco e a influência social afiguram-se como outros dois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fatores determinantes [11] [1], assim como os fatores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demográficos [1] e a qualidade do serviço [2]. Outros fatores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dizem respeito à facilidade de utilização e à compatibilidade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destes serviços com o estilo de vida dos consumidores [12]. </w:t>
      </w:r>
    </w:p>
    <w:p>
      <w:pPr>
        <w:autoSpaceDN w:val="0"/>
        <w:autoSpaceDE w:val="0"/>
        <w:widowControl/>
        <w:spacing w:line="218" w:lineRule="exact" w:before="126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Ao mobile banking são associadas diversas vantagens,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 a redução dos custos para os bancos, a possibilidade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atrair novos clientes [2], e a facilidade na acessibilidade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serviços bancários [3], podendo ser acedida em qualquer lugar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 a qualquer momento, dando ao cliente uma nova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independência [2]. </w:t>
      </w:r>
    </w:p>
    <w:p>
      <w:pPr>
        <w:autoSpaceDN w:val="0"/>
        <w:autoSpaceDE w:val="0"/>
        <w:widowControl/>
        <w:spacing w:line="218" w:lineRule="exact" w:before="126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 estas vantagens somam-se outras mais complexas,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 possibilidade de o mobile banking se assumir como uma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ferramenta de combate à exclusão social, eliminando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distâncias físicas que conduzem ao isolamento da população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em algumas partes do mundo, dando-lhe uma maior cobertura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financeira [13]. </w:t>
      </w:r>
    </w:p>
    <w:p>
      <w:pPr>
        <w:autoSpaceDN w:val="0"/>
        <w:autoSpaceDE w:val="0"/>
        <w:widowControl/>
        <w:spacing w:line="218" w:lineRule="exact" w:before="124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No entanto, e apesar de todas as vantagens e benefícios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associados à utilização do mobile banking, são-lhe também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apontadas algumas limitações, nomeadamente no que diz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respeito à falta de confidencialidade e privacidade na relação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entre o consumidor e o banco [7], a possíveis problemas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segurança [4], à complexidade do sistema [3], a questões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referentes ao enquadramento legal [5] e a problemas ligados à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educação dos consumidores [2]. Simultaneamente, é apontada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 limitação a falta de acessibilidade em sites de comércio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online, o que dificulta o acesso do consumidor [6] –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agravando-se no caso de haver alguma deficiência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consumidor [6] [18]. </w:t>
      </w:r>
    </w:p>
    <w:p>
      <w:pPr>
        <w:autoSpaceDN w:val="0"/>
        <w:autoSpaceDE w:val="0"/>
        <w:widowControl/>
        <w:spacing w:line="220" w:lineRule="exact" w:before="122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O principal desafio que é atualmente apontado aos bancos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diz respeito às limitações resultantes da falta de contacto com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os clientes, o que pode conduzir à perda de lealdade destes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para com a instituição [3] [1]. </w:t>
      </w:r>
    </w:p>
    <w:p>
      <w:pPr>
        <w:autoSpaceDN w:val="0"/>
        <w:autoSpaceDE w:val="0"/>
        <w:widowControl/>
        <w:spacing w:line="218" w:lineRule="exact" w:before="126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Também no caso português ocorreram alterações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significativas do ponto de vista da inovação no setor bancário,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onde os bancos têm procurado modernizar-se na oferta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serviços [3]. Consequentemente, deu-se a adoção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mecanismos de mobile banking. Entre os serviços disponíveis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em Portugal, destacam-se o Paypal, que funciona como uma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carteira digital; o MBWay e o MBNet que têm as mesmas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funcionalidades que o multibanco e permitem criar um cartão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virtual com limite monetário; o Revolut, que, aos anteriores,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acrescenta funcionalidades ligadas à conversão de taxas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câmbio, sendo por isso muito utilizado por viajantes [14]; e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Lydia que tem funções idênticas ao multibanco, permitindo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ver saldos, fazer pagamentos, entre muitas outras funções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[15]. </w:t>
      </w:r>
    </w:p>
    <w:p>
      <w:pPr>
        <w:autoSpaceDN w:val="0"/>
        <w:autoSpaceDE w:val="0"/>
        <w:widowControl/>
        <w:spacing w:line="222" w:lineRule="exact" w:before="120" w:after="1066"/>
        <w:ind w:left="332" w:right="0" w:firstLine="288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Com o surgimento, desenvolvimento e expansão das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bancárias como as anteriormente referidas, </w:t>
      </w:r>
    </w:p>
    <w:p>
      <w:pPr>
        <w:sectPr>
          <w:type w:val="nextColumn"/>
          <w:pgSz w:w="11904" w:h="16840"/>
          <w:pgMar w:top="498" w:right="656" w:bottom="198" w:left="718" w:header="720" w:footer="720" w:gutter="0"/>
          <w:cols w:num="2" w:equalWidth="0">
            <w:col w:w="5262" w:space="0"/>
            <w:col w:w="526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2" w:right="4752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  <w:r>
        <w:br/>
      </w: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p>
      <w:pPr>
        <w:sectPr>
          <w:type w:val="continuous"/>
          <w:pgSz w:w="11904" w:h="16840"/>
          <w:pgMar w:top="498" w:right="656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4" w:h="16840"/>
          <w:pgMar w:top="498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124" w:after="0"/>
        <w:ind w:left="12" w:right="334" w:firstLine="0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verifica-se também uma maior utilização das mesmas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parte da população. De acordo com dados oficiais, [16] no ano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2017 mais de metade das pessoas com idades entre os 16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os 74 anos utilizavam o online banking. Desse mesmo grupo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populacional, 37% tinha realizado compras online no último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ano, sendo esta realidade mais comum em pessoas entre os 25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 os 34 anos e em estudantes [16]. No ano de 2018, [14] 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mecanismos de carteira digital tinham cerca de 700 mil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utilizadores, sendo o PayPal o método mais utilizado.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Segundo dados divulgados pela imprensa [17], em abril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2019 o Revolut tinha já mais de 100 mil utilizadores em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Portugal e o Lydia ultrapassava os 50 mil, estando, em ambos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os casos, estes números a apresentar aumentos diários.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Apesar de haver já uma forte presença de inovação no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setor bancário e na indústria, a literatura [4] [3] refere que seja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ainda de esperar que ocorram mais mudanças ao nível das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transações e dos pagamentos pelos dispositivos móveis.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Simultaneamente, será de esperar que a relação entre 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bancos e os clientes se continue a alterar, uma vez que, cada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vez mais, o poder está a passar para o lado do consumidor,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vai alterar drasticamente o setor financeiro [5]. A estas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mudanças soma-se a necessidade de tornar os mecanismos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mobile banking ainda mais personalizados para os diferentes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consumidores, de modo a fazer frente às exigências [10]. </w:t>
      </w:r>
    </w:p>
    <w:p>
      <w:pPr>
        <w:autoSpaceDN w:val="0"/>
        <w:autoSpaceDE w:val="0"/>
        <w:widowControl/>
        <w:spacing w:line="220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No entanto, é também de esperar que da utilização destes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mecanismos surjam novos e mais complexos desafios,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nomeadamente em questões de segurança [9]. </w:t>
      </w:r>
    </w:p>
    <w:p>
      <w:pPr>
        <w:autoSpaceDN w:val="0"/>
        <w:tabs>
          <w:tab w:pos="2302" w:val="left"/>
        </w:tabs>
        <w:autoSpaceDE w:val="0"/>
        <w:widowControl/>
        <w:spacing w:line="342" w:lineRule="exact" w:before="42" w:after="0"/>
        <w:ind w:left="1582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III.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>M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ETODOLOGIA</w:t>
      </w:r>
    </w:p>
    <w:p>
      <w:pPr>
        <w:autoSpaceDN w:val="0"/>
        <w:tabs>
          <w:tab w:pos="300" w:val="left"/>
          <w:tab w:pos="1400" w:val="left"/>
          <w:tab w:pos="2422" w:val="left"/>
          <w:tab w:pos="2820" w:val="left"/>
          <w:tab w:pos="4240" w:val="left"/>
        </w:tabs>
        <w:autoSpaceDE w:val="0"/>
        <w:widowControl/>
        <w:spacing w:line="218" w:lineRule="exact" w:before="126" w:after="0"/>
        <w:ind w:left="12" w:right="288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Foi realizada uma revisão da literatura, no sentido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compreender melhor o tema e a real evolução que sofreu, bem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 fornecer uma abordagem teórico-concetual acerca deste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fenómeno. Para isso, foi realizada uma pesquisa em bases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dados abrangentes e de renome, nomeadamente na Scopus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ResearchGate,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utilizando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palavras-chave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“mobile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banking”, “inovação”, “bancos”, “sistema financeiro”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“consumo online”.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Ainda com o objetivo de envolver a reflexão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consumidores e obter a sua visão dos acontecimentos, foi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realizado um questionário, que contou com 137 respostas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pessoas de diversas faixas etárias e ocupações, implicando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uma análise cuidada das mesmas, e resultando numa pequena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conclusão considerada relevante e que contribui para uma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melhor compreensão deste tema.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Este questionário incluiu perguntas fechadas,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classificação em escala de 0 a 5, de escolha múltipla, bem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 de resposta curta e de opinião, estas sendo opcionais,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analisadas de forma quantitativa e qualitativa. Procurou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identificar os participantes, sem em algum momento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comprometer a sua confidencialidade, através de dados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 faixa etária em que se inclui e a sua ocupação/profissão.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amostra, por envolver principalmente contactos dos autores, é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conveniência e não probabilística, o que é muito usado na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gestão, mas que não permite generalizar pois não se sabe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população se trata. Este estudo é então exploratório,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indicando caminhos para pesquisas futuras. </w:t>
      </w:r>
    </w:p>
    <w:p>
      <w:pPr>
        <w:sectPr>
          <w:type w:val="continuous"/>
          <w:pgSz w:w="11904" w:h="16840"/>
          <w:pgMar w:top="498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122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Através dos dados recolhidos, e da revisão da literatura,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tirámos conclusões onde procuramos dar resposta às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perguntas de investigação inicialmente colocadas. </w:t>
      </w:r>
    </w:p>
    <w:p>
      <w:pPr>
        <w:autoSpaceDN w:val="0"/>
        <w:tabs>
          <w:tab w:pos="1632" w:val="left"/>
        </w:tabs>
        <w:autoSpaceDE w:val="0"/>
        <w:widowControl/>
        <w:spacing w:line="342" w:lineRule="exact" w:before="46" w:after="0"/>
        <w:ind w:left="912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IV.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>R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ESULTADOS </w:t>
      </w:r>
      <w:r>
        <w:rPr>
          <w:rFonts w:ascii="Times" w:hAnsi="Times" w:eastAsia="Times"/>
          <w:b w:val="0"/>
          <w:i w:val="0"/>
          <w:color w:val="010101"/>
          <w:sz w:val="20"/>
        </w:rPr>
        <w:t>D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10101"/>
          <w:sz w:val="20"/>
        </w:rPr>
        <w:t>T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RABALHO DE </w:t>
      </w:r>
      <w:r>
        <w:rPr>
          <w:rFonts w:ascii="Times" w:hAnsi="Times" w:eastAsia="Times"/>
          <w:b w:val="0"/>
          <w:i w:val="0"/>
          <w:color w:val="010101"/>
          <w:sz w:val="20"/>
        </w:rPr>
        <w:t>C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AMPO</w:t>
      </w:r>
    </w:p>
    <w:p>
      <w:pPr>
        <w:autoSpaceDN w:val="0"/>
        <w:autoSpaceDE w:val="0"/>
        <w:widowControl/>
        <w:spacing w:line="218" w:lineRule="exact" w:before="124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Ao longo dos anos tem-se vindo a registar um aumento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pagamentos virtuais e da utilização de aplicações bancárias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pagamento. Como tal, decidimos tentar entender quais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mais utilizadas, o porquê e em que influenciam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vida no dia-a-dia das pessoas, através de um questionário.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questionário disponibilizado online obtivemos 137 respostas. </w:t>
      </w:r>
    </w:p>
    <w:p>
      <w:pPr>
        <w:autoSpaceDN w:val="0"/>
        <w:autoSpaceDE w:val="0"/>
        <w:widowControl/>
        <w:spacing w:line="218" w:lineRule="exact" w:before="124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É importante iniciar este segmento do artigo analisando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público que se disponibilizou a responder ao questionário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divulgado, uma vez que contamos com 137 indivíduos,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foram divididos por faixa etária e ocupação. A faixa etária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mais respondeu ao mesmo foi a dos 20-29 anos, perfazendo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59,9% das respostas, e correspondendo a 82 respostas. Foram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obtidas 3 respostas de indivíduos menores de idade,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afirmando-se como utilizadores destas aplicações. Desde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estudantes, a técnicos superiores de diversas áreas como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informática, a contabilidade, o design, o direito, sem esquecer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alguns indivíduos já reformados, foi alcançada uma grande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variedade de ocupações dos participantes. </w:t>
      </w:r>
    </w:p>
    <w:p>
      <w:pPr>
        <w:autoSpaceDN w:val="0"/>
        <w:autoSpaceDE w:val="0"/>
        <w:widowControl/>
        <w:spacing w:line="218" w:lineRule="exact" w:before="124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Relativamente ao conhecimento das pessoas sobre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aplicações, a mais conhecida é a MBWay, conhecida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95,6% dos inquiridos. Contudo, apenas 56,9% dos inquiridos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utilizam a mesma. Em segundo lugar, estão as aplicações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próprios bancos (por exemplo, Caixa Direta, BPI App e App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Millenium, entre outras), conhecidas por 89,80%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inquiridos e utilizada por quase todas as pessoas que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conhecem. Por último, no que concerne as aplicações mais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conhecidas pelos inquiridos, surge o PayPal, mencionado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87,6% da amostra, mas que conta, no entanto, com uma menor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percentagem de utilização, sendo essa de apenas 34,3%. </w:t>
      </w:r>
    </w:p>
    <w:p>
      <w:pPr>
        <w:autoSpaceDN w:val="0"/>
        <w:autoSpaceDE w:val="0"/>
        <w:widowControl/>
        <w:spacing w:line="220" w:lineRule="exact" w:before="122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As três aplicações mencionadas são as mais utilizadas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pelos inquiridos, contudo tem-se vindo a registar um aumento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do número de aplicações na mesma linha de funcionamento.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Este é o caso do Google Play, do Revolut e da Lydia, que são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que têm vindo a ganhar cada vez mais utilizadores,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 que mesmo tendo sido mencionadas pela amostra,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apresentam uma menor utilização por parte dos mesmos. </w:t>
      </w:r>
    </w:p>
    <w:p>
      <w:pPr>
        <w:autoSpaceDN w:val="0"/>
        <w:autoSpaceDE w:val="0"/>
        <w:widowControl/>
        <w:spacing w:line="218" w:lineRule="exact" w:before="126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Pela informação anteriormente descrita é possível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constatar que, apesar da utilização de outras formas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pagamentos, a maioria das pessoas opta por utilizar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do próprio banco. Como possível explicação para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este facto, podemos ter as questões de confidencialidade, onde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 pessoas optam por utilizar os mecanismos aos quais já têm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os seus dados associados, sem ter de os partilhar com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terceiros, como no caso das aplicações MBWay e PayPal. Das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137 pessoas que responderam ao inquérito, apenas 0,7% não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utilizam nenhuma aplicação bancária ou de pagamento,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vem uma vez mais reforçar o forte desenvolvimento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expansão do uso da tecnologia. </w:t>
      </w:r>
    </w:p>
    <w:p>
      <w:pPr>
        <w:autoSpaceDN w:val="0"/>
        <w:autoSpaceDE w:val="0"/>
        <w:widowControl/>
        <w:spacing w:line="220" w:lineRule="exact" w:before="124" w:after="1272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Quando questionadas sobre o motivo pelo qual utilizam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estas aplicações, a maioria dos inquiridos afirma que se deve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ao facto de estas facilitarem a vida quotidiana, evitando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deslocações desnecessárias e filas de espera. Dos inquiridos, </w:t>
      </w:r>
    </w:p>
    <w:p>
      <w:pPr>
        <w:sectPr>
          <w:type w:val="nextColumn"/>
          <w:pgSz w:w="11904" w:h="16840"/>
          <w:pgMar w:top="498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2" w:right="4752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  <w:r>
        <w:br/>
      </w: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p>
      <w:pPr>
        <w:sectPr>
          <w:type w:val="continuous"/>
          <w:pgSz w:w="11904" w:h="16840"/>
          <w:pgMar w:top="498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4" w:h="16840"/>
          <w:pgMar w:top="498" w:right="656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120" w:after="0"/>
        <w:ind w:left="12" w:right="288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apenas 2,2% consideram que estas aplicações não vieram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facilitar a vida das pessoas. </w:t>
      </w:r>
    </w:p>
    <w:p>
      <w:pPr>
        <w:autoSpaceDN w:val="0"/>
        <w:autoSpaceDE w:val="0"/>
        <w:widowControl/>
        <w:spacing w:line="218" w:lineRule="exact" w:before="126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Relativamente à confiança neste método de pagamento,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maioria das pessoas demonstrou que confia, contudo, assume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ter medo que os seus dados sejam divulgados e/ou utilizados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para fins que não os pretendidos. Este medo surge devido à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existência de hackers informáticos que, num mundo cada vez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mais digital, facilmente conseguem roubar os dados pessoais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dos utilizadores na internet. </w:t>
      </w:r>
    </w:p>
    <w:p>
      <w:pPr>
        <w:autoSpaceDN w:val="0"/>
        <w:autoSpaceDE w:val="0"/>
        <w:widowControl/>
        <w:spacing w:line="218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Apesar do medo de verem os seus dados pessoais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divulgados, os inquiridos referem utilizar cada vez mais estes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métodos de pagamento, uma vez que oferece mais rapidez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comodidade comparativamente aos métodos convencionais,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facilitando assim a vida das pessoas, o que se afigura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uma vantagem. Consequentemente, dos inquiridos, cerca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94% consideram estas aplicações uma mais-valia para as suas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vidas. </w:t>
      </w:r>
    </w:p>
    <w:p>
      <w:pPr>
        <w:autoSpaceDN w:val="0"/>
        <w:autoSpaceDE w:val="0"/>
        <w:widowControl/>
        <w:spacing w:line="218" w:lineRule="exact" w:before="126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Apesar das respostas obtidas a favor dos novos métodos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pagamento, quando questionadas sobre que método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pagamento preferem, verificou-se uma parte considerável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favor dos métodos de pagamento convencionais - 38% -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contra os 62% que preferem os métodos de pagamento online.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Por métodos convencionais de pagamento, referimo-nos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deslocações a um terminal multibanco para fazer trenferências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ou pagamentos, pedidos de cheques ao balcão, levantar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dinheiro, entre outras e quaisquer atividades que implicavam,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até outrora, a deslocação a um terminal. Este resultado pode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estar ligado ao medo anteriormente referido de que os seus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dados pessoais cheguem a mãos alheias. </w:t>
      </w:r>
    </w:p>
    <w:p>
      <w:pPr>
        <w:autoSpaceDN w:val="0"/>
        <w:autoSpaceDE w:val="0"/>
        <w:widowControl/>
        <w:spacing w:line="218" w:lineRule="exact" w:before="126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Com o aumento dos pagamentos realizados através 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internet, surge então uma questão de grande importância: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Estão as aplicações bancárias e de pagamento ligadas ao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aumento do consumismo? Quando questionadas sobre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assunto, a opinião da maioria das pessoas é a de que,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realmente, estes métodos de pagamento levam ao aumento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consumismo. Entre as justificações apontadas surge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facilidade da compra e o facto de não se tratar de dinheiro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físico, o que dá ao consumidor a ideia de que não está a ser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gasto tanto dinheiro. </w:t>
      </w:r>
    </w:p>
    <w:p>
      <w:pPr>
        <w:autoSpaceDN w:val="0"/>
        <w:autoSpaceDE w:val="0"/>
        <w:widowControl/>
        <w:spacing w:line="218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Por esse mesmo motivo, as pessoas inquiridas defendem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o consumidor deve ser instruído a uma melhor utilização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destes novos métodos de pagamento, de modo a evitar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consumismo excessivo. Esta revela-se uma sugestão útil para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 problema que poderá ter sido levantado com a redação deste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artigo. Para além deste, outros comentários solidificam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premissa enunciada, podendo ler-se “pode ser um estímulo à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compra, nomeadamente a compras desnecessárias” e “o facto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não usar o dinheiro de forma palpável e visível (trata-se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números em ambiente virtual) dificulta a quantificação e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capacidade de perceber o real valor pecuniário de um produto,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bem ou serviço”. </w:t>
      </w:r>
    </w:p>
    <w:p>
      <w:pPr>
        <w:autoSpaceDN w:val="0"/>
        <w:autoSpaceDE w:val="0"/>
        <w:widowControl/>
        <w:spacing w:line="218" w:lineRule="exact" w:before="126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No entanto, nem todos os inquiridos concordam com esta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visão “negativa” que tentamos apurar, afirmando que na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maioria dos casos a facilidade de pagamento não é o único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fator a ter em atenção. Estes inquiridos, que representam 62%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 amostra, preferindo os métodos abordados (novos) aos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convencionais, justificam a sua posição afirmando que “o </w:t>
      </w:r>
    </w:p>
    <w:p>
      <w:pPr>
        <w:sectPr>
          <w:type w:val="continuous"/>
          <w:pgSz w:w="11904" w:h="16840"/>
          <w:pgMar w:top="498" w:right="656" w:bottom="198" w:left="718" w:header="720" w:footer="720" w:gutter="0"/>
          <w:cols w:num="2" w:equalWidth="0">
            <w:col w:w="5262" w:space="0"/>
            <w:col w:w="5268" w:space="0"/>
          </w:cols>
          <w:docGrid w:linePitch="360"/>
        </w:sectPr>
      </w:pPr>
    </w:p>
    <w:p>
      <w:pPr>
        <w:autoSpaceDN w:val="0"/>
        <w:tabs>
          <w:tab w:pos="1152" w:val="left"/>
          <w:tab w:pos="1656" w:val="left"/>
          <w:tab w:pos="2488" w:val="left"/>
          <w:tab w:pos="2896" w:val="left"/>
          <w:tab w:pos="3888" w:val="left"/>
          <w:tab w:pos="4374" w:val="left"/>
        </w:tabs>
        <w:autoSpaceDE w:val="0"/>
        <w:widowControl/>
        <w:spacing w:line="218" w:lineRule="exact" w:before="124" w:after="0"/>
        <w:ind w:left="332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consumismo poderá ser uma consequência do facilitismo 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comodidade”, mas na sua opinião “não há uma relação direta,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sendo apenas as pessoas mais consumistas por natureza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aquelas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abusam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das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supramencionadas”. É de salientar que esta ferramenta auxilia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no controlo das despesas e permite um acompanhamento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contínuo e real das contas bancárias dos seus utilizadores.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Posto isto, alguns inquiridos não sentem que estejam a ser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estimulados a efetuar compras. Estes reafirmam os benefícios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estas aplicações colocam ao seu dispor, confiando na sua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intenção de meramente facilitar o quotidiano de todos nós.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Assim sendo, é de notar que existe uma divisão clara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opiniões. Esta divisão é notória em diversos campos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inquérito realizado, nomeadamente nas questões de resposta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aberta, que temos vindo a expor ao longo do presente artigo. </w:t>
      </w:r>
    </w:p>
    <w:p>
      <w:pPr>
        <w:autoSpaceDN w:val="0"/>
        <w:tabs>
          <w:tab w:pos="2770" w:val="left"/>
        </w:tabs>
        <w:autoSpaceDE w:val="0"/>
        <w:widowControl/>
        <w:spacing w:line="342" w:lineRule="exact" w:before="42" w:after="0"/>
        <w:ind w:left="2050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V.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>D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ISCUSSÃO</w:t>
      </w:r>
    </w:p>
    <w:p>
      <w:pPr>
        <w:autoSpaceDN w:val="0"/>
        <w:autoSpaceDE w:val="0"/>
        <w:widowControl/>
        <w:spacing w:line="218" w:lineRule="exact" w:before="124" w:after="0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Pela informação anteriormente apresentada é possível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compreender que as pessoas inquiridas se inserem na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informação recolhida durante a revisão da literatura onde,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um lado, verificamos uma grande adesão a estes métodos (o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pode ser verificado pela elevada percentagem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inquiridos que as utilizam) e, por outro lado, encontramos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ainda alguma resistência e receio relativamente aos mesmos. </w:t>
      </w:r>
    </w:p>
    <w:p>
      <w:pPr>
        <w:autoSpaceDN w:val="0"/>
        <w:autoSpaceDE w:val="0"/>
        <w:widowControl/>
        <w:spacing w:line="218" w:lineRule="exact" w:before="124" w:after="0"/>
        <w:ind w:left="332" w:right="20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Relativamente às perguntas que nos propusemos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responder, a literatura sublinha as alterações que a inovação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tecnológica veio trazer ao nível do sistema financeiro, que se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viu confrontado com uma nova realidade à qual teve de se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adaptar, obtendo assim uma nova forma de financiamento. No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entanto, os resultados obtidos pelo questionário apontam para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uma parte da amostra que ainda prefere e opta pelos meios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bancários tradicionais, o que enfatiza a informação recolhida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na revisão da literatura, onde diversos autores olham para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mobile banking como uma forma de obter novos clientes,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utilizam estes novos métodos, e, simultaneamente, manter 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já tinham, que optam pelos meios tradicionais. </w:t>
      </w:r>
    </w:p>
    <w:p>
      <w:pPr>
        <w:autoSpaceDN w:val="0"/>
        <w:tabs>
          <w:tab w:pos="620" w:val="left"/>
          <w:tab w:pos="846" w:val="left"/>
          <w:tab w:pos="1864" w:val="left"/>
          <w:tab w:pos="2276" w:val="left"/>
          <w:tab w:pos="2944" w:val="left"/>
          <w:tab w:pos="3778" w:val="left"/>
          <w:tab w:pos="4166" w:val="left"/>
          <w:tab w:pos="4728" w:val="left"/>
        </w:tabs>
        <w:autoSpaceDE w:val="0"/>
        <w:widowControl/>
        <w:spacing w:line="218" w:lineRule="exact" w:before="126" w:after="0"/>
        <w:ind w:left="332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Olhando para a outra pergunta a que pretendemos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responder, vemos que, apesar deste estudo ter revelado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existe uma clara divergência em termos de opiniões acerca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um possível estímulo do ato de compra, como foi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anteriormente enunciado e explicado, existem também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opiniões fortes, como exemplificamos nos resultados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trabalho de campo, que apontam para um claro aumento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pessoal ao nível do consumo desde que obtiveram este novo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mecanismo. É importante salientar que, e passando a citar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alguns dos inquiridos, a privacidade dos seus dados e a, ainda,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falta de confiança total nestes métodos são os principais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motivos que levam alguns deles a não adotar estas ferramentas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poderiam,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facto,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facilitar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vidas.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Simultaneamente, é necessário sublinhar que as referidas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aplicações bancárias, e outras do mesmo âmbito que não </w:t>
      </w:r>
      <w:r>
        <w:rPr>
          <w:rFonts w:ascii="Times" w:hAnsi="Times" w:eastAsia="Times"/>
          <w:b w:val="0"/>
          <w:i w:val="0"/>
          <w:color w:val="010101"/>
          <w:sz w:val="20"/>
        </w:rPr>
        <w:t>foram aqui abordadas, estão cada vez mais presentes no dia-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a-dia dos cidadãos portugueses. Isto vem sendo confirmado ao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longo da análise dos resultados do questionário, bem como da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revisão da literatura apresentada. Como qualquer avanço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tecnológico, este acarreta benefícios e riscos. </w:t>
      </w:r>
    </w:p>
    <w:p>
      <w:pPr>
        <w:autoSpaceDN w:val="0"/>
        <w:autoSpaceDE w:val="0"/>
        <w:widowControl/>
        <w:spacing w:line="218" w:lineRule="exact" w:before="126" w:after="1076"/>
        <w:ind w:left="332" w:right="22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Um resultado importante a reter deste artigo diz respeito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às mudanças e novas oportunidades que surgiram com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internet banking e com o mobile banking, que abriram todo </w:t>
      </w:r>
    </w:p>
    <w:p>
      <w:pPr>
        <w:sectPr>
          <w:type w:val="nextColumn"/>
          <w:pgSz w:w="11904" w:h="16840"/>
          <w:pgMar w:top="498" w:right="656" w:bottom="198" w:left="718" w:header="720" w:footer="720" w:gutter="0"/>
          <w:cols w:num="2" w:equalWidth="0">
            <w:col w:w="5262" w:space="0"/>
            <w:col w:w="5268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2" w:right="4752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  <w:r>
        <w:br/>
      </w: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p>
      <w:pPr>
        <w:sectPr>
          <w:type w:val="continuous"/>
          <w:pgSz w:w="11904" w:h="16840"/>
          <w:pgMar w:top="498" w:right="656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4" w:h="16840"/>
          <w:pgMar w:top="498" w:right="670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122" w:after="0"/>
        <w:ind w:left="12" w:right="336" w:firstLine="0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um novo leque de oportunidades para os consumidores,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indústria e as instituições bancárias, dando também um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impulso a operadoras de telemóveis. </w:t>
      </w:r>
    </w:p>
    <w:p>
      <w:pPr>
        <w:autoSpaceDN w:val="0"/>
        <w:autoSpaceDE w:val="0"/>
        <w:widowControl/>
        <w:spacing w:line="218" w:lineRule="exact" w:before="126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O intuito do presente artigo e da sua discussão/conclusão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é que, de facto, seja ponderado este possível estímulo ao ato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 compra, bem como da dificuldade que o consumidor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encontra em gerir as suas finanças quando estas não são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palpáveis, sem descurar aqueles que são os benefícios claros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destas aplicações e contributos para a aproximação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consumidor com o banco. Simultaneamente, procuramos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sublinhar aquelas que são as limitações destes mecanismos,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nomeadamente em questões de segurança, e que devem, por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esse motivo, ser alvo de principal atenção por parte do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utilizador. </w:t>
      </w:r>
    </w:p>
    <w:p>
      <w:pPr>
        <w:autoSpaceDN w:val="0"/>
        <w:tabs>
          <w:tab w:pos="2374" w:val="left"/>
        </w:tabs>
        <w:autoSpaceDE w:val="0"/>
        <w:widowControl/>
        <w:spacing w:line="342" w:lineRule="exact" w:before="46" w:after="0"/>
        <w:ind w:left="1654" w:right="0" w:firstLine="0"/>
        <w:jc w:val="left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VI. </w:t>
      </w:r>
      <w:r>
        <w:tab/>
      </w:r>
      <w:r>
        <w:rPr>
          <w:rFonts w:ascii="Times" w:hAnsi="Times" w:eastAsia="Times"/>
          <w:b w:val="0"/>
          <w:i w:val="0"/>
          <w:color w:val="010101"/>
          <w:sz w:val="20"/>
        </w:rPr>
        <w:t>C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ONCLUSÕES</w:t>
      </w:r>
    </w:p>
    <w:p>
      <w:pPr>
        <w:autoSpaceDN w:val="0"/>
        <w:autoSpaceDE w:val="0"/>
        <w:widowControl/>
        <w:spacing w:line="218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O presente artigo permite compreender a importância que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 chamada “economia digital”, e a consequente inovação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tecnológica daqui resultante, tiveram ao nível do sistema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financeiro. O surgimento e desenvolvimento dos dispositivos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móveis originaram assim novas realidades que conhecemos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hoje como internet banking e mobile banking, que vieram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alterar a estrutura do consumo, tanto do lado da oferta,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do lado da procura. </w:t>
      </w:r>
    </w:p>
    <w:p>
      <w:pPr>
        <w:autoSpaceDN w:val="0"/>
        <w:autoSpaceDE w:val="0"/>
        <w:widowControl/>
        <w:spacing w:line="218" w:lineRule="exact" w:before="124" w:after="0"/>
        <w:ind w:left="12" w:right="336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Assim, o desenvolvimento do presente estudo possibilitou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responder à questão de pesquisa, que se prendia com 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vantagens e desvantagens das aplicações bancárias e com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sua importância na sociedade do séc. XXI. Para tal, foi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elaborado um trabalho de campo que permitiu averiguar 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aparecimento das várias aplicações bancárias e o modo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estas estão a afetar a vida quotidiana. Através das respostas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obtidas, bem como dos dados estatísticos anteriormente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referidos na revisão da literatura, é possível compreender 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dimensão da importância que se tem dado à utilização de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meios de pagamento online, que revolucionaram a ação 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bancos. </w:t>
      </w:r>
    </w:p>
    <w:p>
      <w:pPr>
        <w:autoSpaceDN w:val="0"/>
        <w:autoSpaceDE w:val="0"/>
        <w:widowControl/>
        <w:spacing w:line="218" w:lineRule="exact" w:before="126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 revisão da literatura e a análise dos dados recolhidos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pelo questionário, permitiram concluir que, apesar da forte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adoção dos mecanismos de internet banking e mobile banking,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estes ainda não atingiram a total confiança por parte de alguns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cidadãos e até mesmo utilizadores, mesmo que sejam por eles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considerados uma mais valia. </w:t>
      </w:r>
    </w:p>
    <w:p>
      <w:pPr>
        <w:autoSpaceDN w:val="0"/>
        <w:autoSpaceDE w:val="0"/>
        <w:widowControl/>
        <w:spacing w:line="220" w:lineRule="exact" w:before="124" w:after="0"/>
        <w:ind w:left="12" w:right="334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Este artigo mostra-se importante para o setor financeiro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pois revela a opinião dos utilizadores desses mesmos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mecanismos, e acima de tudo revela os seus principais receios.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Isto deve ser encarado com uma sugestão de melhoria e até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como uma oportunidade de inovação. No entanto, e como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limitação ao nosso estudo, apontamos o número de respostas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que, apesar de nos permitir tirar algumas conclusões (no nosso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estudo piloto), não nos permite generalizar essas mesmas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conclusões, até pela amostra de conveniência usada que,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embora popular na gestão, não permite de facto generalizar. </w:t>
      </w:r>
    </w:p>
    <w:p>
      <w:pPr>
        <w:autoSpaceDN w:val="0"/>
        <w:autoSpaceDE w:val="0"/>
        <w:widowControl/>
        <w:spacing w:line="344" w:lineRule="exact" w:before="40" w:after="0"/>
        <w:ind w:left="0" w:right="2066" w:firstLine="0"/>
        <w:jc w:val="right"/>
      </w:pPr>
      <w:r>
        <w:rPr>
          <w:rFonts w:ascii="Times" w:hAnsi="Times" w:eastAsia="Times"/>
          <w:b w:val="0"/>
          <w:i w:val="0"/>
          <w:color w:val="010101"/>
          <w:sz w:val="20"/>
        </w:rPr>
        <w:t>A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GRADECIMENTOS</w:t>
      </w:r>
    </w:p>
    <w:p>
      <w:pPr>
        <w:autoSpaceDN w:val="0"/>
        <w:autoSpaceDE w:val="0"/>
        <w:widowControl/>
        <w:spacing w:line="220" w:lineRule="exact" w:before="122" w:after="0"/>
        <w:ind w:left="12" w:right="338" w:firstLine="288"/>
        <w:jc w:val="both"/>
      </w:pPr>
      <w:r>
        <w:rPr>
          <w:rFonts w:ascii="Times" w:hAnsi="Times" w:eastAsia="Times"/>
          <w:b w:val="0"/>
          <w:i w:val="0"/>
          <w:color w:val="010101"/>
          <w:sz w:val="20"/>
        </w:rPr>
        <w:t xml:space="preserve">Agradecemos a todos os participantes no questionário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desenvolvido e à Universidade de Aveiro e ao DEGEIT, pelo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acesso às bases de dados utilizadas, cruciais para uma clara </w:t>
      </w:r>
      <w:r>
        <w:rPr>
          <w:rFonts w:ascii="Times" w:hAnsi="Times" w:eastAsia="Times"/>
          <w:b w:val="0"/>
          <w:i w:val="0"/>
          <w:color w:val="010101"/>
          <w:sz w:val="20"/>
        </w:rPr>
        <w:t xml:space="preserve">compreensão do tema e da sua importância. </w:t>
      </w:r>
    </w:p>
    <w:p>
      <w:pPr>
        <w:sectPr>
          <w:type w:val="continuous"/>
          <w:pgSz w:w="11904" w:h="16840"/>
          <w:pgMar w:top="498" w:right="670" w:bottom="198" w:left="718" w:header="720" w:footer="720" w:gutter="0"/>
          <w:cols w:num="2" w:equalWidth="0">
            <w:col w:w="5262" w:space="0"/>
            <w:col w:w="5254" w:space="0"/>
          </w:cols>
          <w:docGrid w:linePitch="360"/>
        </w:sectPr>
      </w:pPr>
    </w:p>
    <w:p>
      <w:pPr>
        <w:autoSpaceDN w:val="0"/>
        <w:autoSpaceDE w:val="0"/>
        <w:widowControl/>
        <w:spacing w:line="342" w:lineRule="exact" w:before="0" w:after="0"/>
        <w:ind w:left="0" w:right="1250" w:firstLine="0"/>
        <w:jc w:val="right"/>
      </w:pPr>
      <w:r>
        <w:rPr>
          <w:rFonts w:ascii="Times" w:hAnsi="Times" w:eastAsia="Times"/>
          <w:b w:val="0"/>
          <w:i w:val="0"/>
          <w:color w:val="010101"/>
          <w:sz w:val="20"/>
        </w:rPr>
        <w:t>R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EFERÊNCIAS </w:t>
      </w:r>
      <w:r>
        <w:rPr>
          <w:rFonts w:ascii="Times" w:hAnsi="Times" w:eastAsia="Times"/>
          <w:b w:val="0"/>
          <w:i w:val="0"/>
          <w:color w:val="010101"/>
          <w:sz w:val="20"/>
        </w:rPr>
        <w:t>B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IBLIOGRÁFICAS</w:t>
      </w:r>
    </w:p>
    <w:p>
      <w:pPr>
        <w:autoSpaceDN w:val="0"/>
        <w:autoSpaceDE w:val="0"/>
        <w:widowControl/>
        <w:spacing w:line="182" w:lineRule="exact" w:before="86" w:after="0"/>
        <w:ind w:left="688" w:right="22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[1] C. Tam e T. Oliveira, “Literature review of mobile banking and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individual performance”. International Journal of Bank Marketing, vol.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35(7), pp. 1044-1067, 2017. </w:t>
      </w:r>
    </w:p>
    <w:p>
      <w:pPr>
        <w:autoSpaceDN w:val="0"/>
        <w:autoSpaceDE w:val="0"/>
        <w:widowControl/>
        <w:spacing w:line="182" w:lineRule="exact" w:before="86" w:after="0"/>
        <w:ind w:left="688" w:right="20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[2] S. K. Sharma e M. Sharma. “Examining the role of trust and quality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dimensions in the actual usage of mobile banking services: an empirical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investigation”. International Journal of Information Management, vol.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44, pp. 65-75, 2019. </w:t>
      </w:r>
    </w:p>
    <w:p>
      <w:pPr>
        <w:autoSpaceDN w:val="0"/>
        <w:autoSpaceDE w:val="0"/>
        <w:widowControl/>
        <w:spacing w:line="180" w:lineRule="exact" w:before="90" w:after="0"/>
        <w:ind w:left="688" w:right="22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[3] A. R. M. D. Reis. “A utilização do mobile banking em alternativa ao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atendimento presencial. Caso CGD”. Dissertação de Mestrado em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Ciências da Comunicação, Marketing e Publicidade. Universidade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Lusófona de Humanidades e Tecnologias, 2017. </w:t>
      </w:r>
    </w:p>
    <w:p>
      <w:pPr>
        <w:autoSpaceDN w:val="0"/>
        <w:autoSpaceDE w:val="0"/>
        <w:widowControl/>
        <w:spacing w:line="182" w:lineRule="exact" w:before="88" w:after="0"/>
        <w:ind w:left="688" w:right="20" w:hanging="356"/>
        <w:jc w:val="both"/>
      </w:pPr>
      <w:r>
        <w:rPr>
          <w:w w:val="98.97375106811523"/>
          <w:rFonts w:ascii="TimesNewRomanPSMT" w:hAnsi="TimesNewRomanPSMT" w:eastAsia="TimesNewRomanPSMT"/>
          <w:b w:val="0"/>
          <w:i w:val="0"/>
          <w:color w:val="010101"/>
          <w:sz w:val="16"/>
        </w:rPr>
        <w:t>[4] V. Tomić e D. Stojanović, “Trend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s and Innovations in Mobile Banking”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in Digital transformation: new challenges and business opportunities.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London: Silver and Smith Publishers,  2018, pp. 290-310. </w:t>
      </w:r>
    </w:p>
    <w:p>
      <w:pPr>
        <w:autoSpaceDN w:val="0"/>
        <w:tabs>
          <w:tab w:pos="688" w:val="left"/>
        </w:tabs>
        <w:autoSpaceDE w:val="0"/>
        <w:widowControl/>
        <w:spacing w:line="182" w:lineRule="exact" w:before="88" w:after="0"/>
        <w:ind w:left="332" w:right="0" w:firstLine="0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[5] N. Sha e S. Mohammad. “Virtual banking and online business”. Banks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and Bank Systems, vol. 12(1), pp. 75-81, 2017. </w:t>
      </w:r>
    </w:p>
    <w:p>
      <w:pPr>
        <w:autoSpaceDN w:val="0"/>
        <w:autoSpaceDE w:val="0"/>
        <w:widowControl/>
        <w:spacing w:line="180" w:lineRule="exact" w:before="88" w:after="0"/>
        <w:ind w:left="688" w:right="0" w:hanging="356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[6] R. Gonçalves, T. Rocha, J. Martins, F. Branco e M. Au-Yong-Oliveira.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“Evaluation of e-commerce websites accessibility and usability: an e-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commerce platform analysis with the inclusion of blind users”.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Universal Access in the Information Society, vol. 17(3), pp. 567-583,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2018. </w:t>
      </w:r>
    </w:p>
    <w:p>
      <w:pPr>
        <w:autoSpaceDN w:val="0"/>
        <w:autoSpaceDE w:val="0"/>
        <w:widowControl/>
        <w:spacing w:line="180" w:lineRule="exact" w:before="90" w:after="0"/>
        <w:ind w:left="688" w:right="22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[7] M. A. Shareef, A. Baabdullah, S. Dutta, V. Kumar e Y. K. Dwivedi.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“Consumer adoption of mobile banking services: An empirical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examination of factors according to adoption stages”. Journal of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Retailing and Consumer Services, vol. 43, pp. 54-67, 2018. </w:t>
      </w:r>
    </w:p>
    <w:p>
      <w:pPr>
        <w:autoSpaceDN w:val="0"/>
        <w:autoSpaceDE w:val="0"/>
        <w:widowControl/>
        <w:spacing w:line="180" w:lineRule="exact" w:before="88" w:after="0"/>
        <w:ind w:left="688" w:right="0" w:hanging="356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[8] H. Karjaluoto, A. A. Shaikh, H. Saarijärvi e S. Saraniemi. “How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perceived value drives the use of mobile financial services apps”.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International Journal of Information Management, vol. 47, pp. 252-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261, 2019. </w:t>
      </w:r>
    </w:p>
    <w:p>
      <w:pPr>
        <w:autoSpaceDN w:val="0"/>
        <w:autoSpaceDE w:val="0"/>
        <w:widowControl/>
        <w:spacing w:line="180" w:lineRule="exact" w:before="86" w:after="0"/>
        <w:ind w:left="688" w:right="20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[9] B. Marcus, K. Anatoli e A. Grégio, “The Internet Banking [in]Security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Spiral: Past, Present, and Future of Online Banking Protection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Mechanisms based on a Brazilian case study”. Proceedings of the 14th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International Conference on Availability, Reliability and Security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(ARES '19), 2019. </w:t>
      </w:r>
    </w:p>
    <w:p>
      <w:pPr>
        <w:autoSpaceDN w:val="0"/>
        <w:autoSpaceDE w:val="0"/>
        <w:widowControl/>
        <w:spacing w:line="180" w:lineRule="exact" w:before="88" w:after="0"/>
        <w:ind w:left="688" w:right="22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[10] L. F. Motiwalla, M. Albashrawi, e H. B. Kartal. “Uncovering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unobserved heterogeneity bias: Measuring mobile banking system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success”. International Journal of Information Management, vol. 49,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pp. 439-451, 2019. </w:t>
      </w:r>
    </w:p>
    <w:p>
      <w:pPr>
        <w:autoSpaceDN w:val="0"/>
        <w:autoSpaceDE w:val="0"/>
        <w:widowControl/>
        <w:spacing w:line="180" w:lineRule="exact" w:before="90" w:after="0"/>
        <w:ind w:left="688" w:right="20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[11] A. Giovanis, C. Assimakopoulos e C. Sarmaniotis. “Adoption of mobile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self-service retail banking technologies: The role of technology, social,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channel and personal factors”. International Journal of Retail &amp;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Distribution Management, vol. 47(9), pp. 894-914, 2018. </w:t>
      </w:r>
    </w:p>
    <w:p>
      <w:pPr>
        <w:autoSpaceDN w:val="0"/>
        <w:autoSpaceDE w:val="0"/>
        <w:widowControl/>
        <w:spacing w:line="182" w:lineRule="exact" w:before="88" w:after="0"/>
        <w:ind w:left="688" w:right="20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[12] C. B. Chakiso. “Factors affecting Attitudes towards Adoption of Mobile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Banking: Users and Non-Users Perspectives”. EMAJ: Emerging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Markets Journal, vol. 9(1), pp. 54-62, 2019. </w:t>
      </w:r>
    </w:p>
    <w:p>
      <w:pPr>
        <w:autoSpaceDN w:val="0"/>
        <w:autoSpaceDE w:val="0"/>
        <w:widowControl/>
        <w:spacing w:line="180" w:lineRule="exact" w:before="90" w:after="0"/>
        <w:ind w:left="688" w:right="20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[13] G. Baptista, T. Oliveira. “Understanding mobile banking: The unified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theory of acceptance and use of technology combined with cultural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moderators”. Computers in Human Behavior, vol. 50, pp. 418-430,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2015. </w:t>
      </w:r>
    </w:p>
    <w:p>
      <w:pPr>
        <w:autoSpaceDN w:val="0"/>
        <w:autoSpaceDE w:val="0"/>
        <w:widowControl/>
        <w:spacing w:line="180" w:lineRule="exact" w:before="90" w:after="0"/>
        <w:ind w:left="688" w:right="22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[14] B. J. A. Igreja. “Carteiras digitais: os casos da China e de Portugal”.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Dissertação de Mestrado em Estudos Interculturais Português/Chinês: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Tradução, Formação e Comunicação Empresarial. Universidade do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Minho, 2018. </w:t>
      </w:r>
    </w:p>
    <w:p>
      <w:pPr>
        <w:autoSpaceDN w:val="0"/>
        <w:tabs>
          <w:tab w:pos="688" w:val="left"/>
          <w:tab w:pos="1230" w:val="left"/>
          <w:tab w:pos="2426" w:val="left"/>
          <w:tab w:pos="2904" w:val="left"/>
          <w:tab w:pos="3812" w:val="left"/>
          <w:tab w:pos="4488" w:val="left"/>
        </w:tabs>
        <w:autoSpaceDE w:val="0"/>
        <w:widowControl/>
        <w:spacing w:line="180" w:lineRule="exact" w:before="90" w:after="0"/>
        <w:ind w:left="332" w:right="0" w:firstLine="0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[15] Notícias ao Minuto, “Lydia: De França a Portugal para mudar o mundo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dos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pagamentos”,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25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setembro </w:t>
      </w:r>
      <w:r>
        <w:tab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2017.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Disponível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em:  https://www.noticiasaominuto.com/economia/870382/lydia-de-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franca-a-portugal-para-mudar-o-mundo-dos-pagamentos, consultado a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15-10-2019. </w:t>
      </w:r>
    </w:p>
    <w:p>
      <w:pPr>
        <w:autoSpaceDN w:val="0"/>
        <w:tabs>
          <w:tab w:pos="688" w:val="left"/>
          <w:tab w:pos="1440" w:val="left"/>
          <w:tab w:pos="2530" w:val="left"/>
          <w:tab w:pos="3134" w:val="left"/>
          <w:tab w:pos="3896" w:val="left"/>
          <w:tab w:pos="5000" w:val="left"/>
        </w:tabs>
        <w:autoSpaceDE w:val="0"/>
        <w:widowControl/>
        <w:spacing w:line="180" w:lineRule="exact" w:before="90" w:after="0"/>
        <w:ind w:left="332" w:right="0" w:firstLine="0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[16] INE. “A proporção de utilizadores de internet banking aumentou em 10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p.p.”.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Novembro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21,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2018. </w:t>
      </w:r>
      <w:r>
        <w:tab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Disponível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em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https://www.ine.pt/xportal/xmain?xpid=INE&amp;xpgid=ine_destaques&amp;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DESTAQUESdest_boui=316115377&amp;DESTAQUESmodo=2&amp;xlang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=pt, consultado a 14-10-2019. </w:t>
      </w:r>
    </w:p>
    <w:p>
      <w:pPr>
        <w:autoSpaceDN w:val="0"/>
        <w:tabs>
          <w:tab w:pos="688" w:val="left"/>
          <w:tab w:pos="1134" w:val="left"/>
          <w:tab w:pos="2314" w:val="left"/>
          <w:tab w:pos="2694" w:val="left"/>
          <w:tab w:pos="3288" w:val="left"/>
          <w:tab w:pos="3950" w:val="left"/>
          <w:tab w:pos="4952" w:val="left"/>
        </w:tabs>
        <w:autoSpaceDE w:val="0"/>
        <w:widowControl/>
        <w:spacing w:line="180" w:lineRule="exact" w:before="88" w:after="1378"/>
        <w:ind w:left="332" w:right="0" w:firstLine="0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[17] Jornal de Negócios, “Os quatro bancos digitais que estão a conquistar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os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portugueses”,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6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abril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2019.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Disponível </w:t>
      </w:r>
      <w:r>
        <w:tab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em: </w:t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https://www.jornaldenegocios.pt/mercados/detalhe/os-quatro-bancos-</w:t>
      </w:r>
    </w:p>
    <w:p>
      <w:pPr>
        <w:sectPr>
          <w:type w:val="nextColumn"/>
          <w:pgSz w:w="11904" w:h="16840"/>
          <w:pgMar w:top="498" w:right="670" w:bottom="198" w:left="718" w:header="720" w:footer="720" w:gutter="0"/>
          <w:cols w:num="2" w:equalWidth="0">
            <w:col w:w="5262" w:space="0"/>
            <w:col w:w="5254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2" w:right="4608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  <w:r>
        <w:br/>
      </w: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p>
      <w:pPr>
        <w:sectPr>
          <w:type w:val="continuous"/>
          <w:pgSz w:w="11904" w:h="16840"/>
          <w:pgMar w:top="498" w:right="670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autoSpaceDE w:val="0"/>
        <w:widowControl/>
        <w:spacing w:line="182" w:lineRule="exact" w:before="88" w:after="0"/>
        <w:ind w:left="368" w:right="5472" w:firstLine="0"/>
        <w:jc w:val="left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>digitais-que-estao-a-conquistar-os-portugueses, consultado a 29-10-</w:t>
      </w:r>
      <w:r>
        <w:br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2019. </w:t>
      </w:r>
    </w:p>
    <w:p>
      <w:pPr>
        <w:autoSpaceDN w:val="0"/>
        <w:autoSpaceDE w:val="0"/>
        <w:widowControl/>
        <w:spacing w:line="180" w:lineRule="exact" w:before="90" w:after="0"/>
        <w:ind w:left="368" w:right="5576" w:hanging="356"/>
        <w:jc w:val="both"/>
      </w:pP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[18] Gonçalves, R., Martins, J., Pereira, J., Oliveira, M.A., Ferreira, J.J.P. </w:t>
      </w:r>
      <w:r>
        <w:br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(2013). Enterprise web accessibility levels amongst the Forbes 250: </w:t>
      </w:r>
      <w:r>
        <w:br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Where art thou o virtuous leader? Journal of Business Ethics, March, </w:t>
      </w:r>
      <w:r>
        <w:br/>
      </w:r>
      <w:r>
        <w:rPr>
          <w:w w:val="98.97375106811523"/>
          <w:rFonts w:ascii="Times" w:hAnsi="Times" w:eastAsia="Times"/>
          <w:b w:val="0"/>
          <w:i w:val="0"/>
          <w:color w:val="010101"/>
          <w:sz w:val="16"/>
        </w:rPr>
        <w:t xml:space="preserve">vol.113(2), pp.363-375. </w:t>
      </w:r>
    </w:p>
    <w:p>
      <w:pPr>
        <w:autoSpaceDN w:val="0"/>
        <w:autoSpaceDE w:val="0"/>
        <w:widowControl/>
        <w:spacing w:line="188" w:lineRule="exact" w:before="13236" w:after="0"/>
        <w:ind w:left="12" w:right="0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2020 15th Iberian Conference on Information Systems and Technologies (CISTI) </w:t>
      </w:r>
    </w:p>
    <w:p>
      <w:pPr>
        <w:autoSpaceDN w:val="0"/>
        <w:autoSpaceDE w:val="0"/>
        <w:widowControl/>
        <w:spacing w:line="188" w:lineRule="exact" w:before="22" w:after="0"/>
        <w:ind w:left="12" w:right="0" w:firstLine="0"/>
        <w:jc w:val="left"/>
      </w:pPr>
      <w:r>
        <w:rPr>
          <w:w w:val="98.97375106811523"/>
          <w:rFonts w:ascii="Arial" w:hAnsi="Arial" w:eastAsia="Arial"/>
          <w:b w:val="0"/>
          <w:i/>
          <w:color w:val="010101"/>
          <w:sz w:val="16"/>
        </w:rPr>
        <w:t xml:space="preserve">24 – 27 June 2020, Seville, Spain </w:t>
      </w:r>
    </w:p>
    <w:p>
      <w:pPr>
        <w:autoSpaceDN w:val="0"/>
        <w:autoSpaceDE w:val="0"/>
        <w:widowControl/>
        <w:spacing w:line="254" w:lineRule="exact" w:before="0" w:after="0"/>
        <w:ind w:left="12" w:right="0" w:firstLine="0"/>
        <w:jc w:val="left"/>
      </w:pPr>
      <w:r>
        <w:rPr>
          <w:w w:val="98.97375106811523"/>
          <w:rFonts w:ascii="Helvetica" w:hAnsi="Helvetica" w:eastAsia="Helvetica"/>
          <w:b w:val="0"/>
          <w:i w:val="0"/>
          <w:color w:val="010101"/>
          <w:sz w:val="16"/>
        </w:rPr>
        <w:t xml:space="preserve">ISBN: 978-989-54659-0-3 </w:t>
      </w:r>
    </w:p>
    <w:p>
      <w:pPr>
        <w:autoSpaceDN w:val="0"/>
        <w:autoSpaceDE w:val="0"/>
        <w:widowControl/>
        <w:spacing w:line="192" w:lineRule="exact" w:before="12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09:06:55 UTC from IEEE Xplore.  Restrictions apply. </w:t>
      </w:r>
    </w:p>
    <w:sectPr w:rsidR="00FC693F" w:rsidRPr="0006063C" w:rsidSect="00034616">
      <w:pgSz w:w="11904" w:h="16840"/>
      <w:pgMar w:top="512" w:right="698" w:bottom="198" w:left="7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