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30" w:lineRule="auto" w:before="0" w:after="726"/>
        <w:ind w:left="3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A Security Risk Model for Online Banking System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.00000000000006" w:type="dxa"/>
      </w:tblPr>
      <w:tblGrid>
        <w:gridCol w:w="3523"/>
        <w:gridCol w:w="3523"/>
        <w:gridCol w:w="3523"/>
      </w:tblGrid>
      <w:tr>
        <w:trPr>
          <w:trHeight w:hRule="exact" w:val="34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6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Anshita Dhoot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A. N. Nazarov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0" w:after="0"/>
              <w:ind w:left="6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Alireza Nik Aein Koupaei </w:t>
            </w:r>
          </w:p>
        </w:tc>
      </w:tr>
      <w:tr>
        <w:trPr>
          <w:trHeight w:hRule="exact" w:val="26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Moscow Institute of Physics &amp;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Moscow Institute of Physics &amp;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5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Moscow Institute of Physics &amp; </w:t>
            </w:r>
          </w:p>
        </w:tc>
      </w:tr>
      <w:tr>
        <w:trPr>
          <w:trHeight w:hRule="exact" w:val="216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Technology State University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Technology State University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Technology State University </w:t>
            </w:r>
          </w:p>
        </w:tc>
      </w:tr>
      <w:tr>
        <w:trPr>
          <w:trHeight w:hRule="exact" w:val="24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Moscow, Russia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Moscow, Russia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7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Moscow, Russia </w:t>
            </w:r>
          </w:p>
        </w:tc>
      </w:tr>
      <w:tr>
        <w:trPr>
          <w:trHeight w:hRule="exact" w:val="214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anshita.dhoot.23@gmail.com 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a.nazarov06@bk.ru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5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alireza.nik666@gmail.com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72"/>
        <w:ind w:left="0" w:right="0"/>
      </w:pPr>
    </w:p>
    <w:p>
      <w:pPr>
        <w:sectPr>
          <w:pgSz w:w="11904" w:h="16840"/>
          <w:pgMar w:top="548" w:right="658" w:bottom="198" w:left="6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8" w:right="160" w:firstLine="274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 – We are living in an era, where the security of our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data has become a huge issue. The services of cyber are the most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entertaining and time-saving things in one’s life. Though, people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save their data on the cloud, which has been managed by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cyber. Cyber-security plays an important role in this matter. This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is the open challenge for the security because many intruders are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there who can attack the data and hack the details of the user by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the server. If we will see around, then we will find many cases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which include cyber-crime. This has become a very genuine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concern to secure our datasets which are available on the cloud.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Our research includes the security of the datasets which will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include intruder detection that can be occurring anywhere on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earth. This has become very important to protect the data from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intruders, for this intruder detection should be the most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important key to get identified. If we don’t know who is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intruder, then how we will get to know who is stealing the data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which has been secured by using much biometric security,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fingerprints, passwords, OTPs etc. intruder detection has become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very important, especially on mobile objects - airplanes, ships,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etc.. As we know the problem then only we are able to find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solution. To prevent this, we are using the methods from machine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learning, biometric recognition, data learning or hybrid methods.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These are going to be the handle of the system that can help to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secure the data from intruders by using best optimization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techniques to get precise data. We proposed a model for the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banking system, whereby using biometric impressions and digital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signatures to make every transaction possible by bank’s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customer. This proposes the security for the Smart Online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Banking System (SOBS) by using the biometric prints, it can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become more secure and reduces a lot of threats can be made by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an intruder. </w:t>
      </w:r>
    </w:p>
    <w:p>
      <w:pPr>
        <w:autoSpaceDN w:val="0"/>
        <w:tabs>
          <w:tab w:pos="332" w:val="left"/>
        </w:tabs>
        <w:autoSpaceDE w:val="0"/>
        <w:widowControl/>
        <w:spacing w:line="245" w:lineRule="auto" w:before="208" w:after="0"/>
        <w:ind w:left="58" w:right="144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Keywords— Intrusion Detection, Model, Security, Smart </w:t>
      </w: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Banking System, Biometric Imprints, Artificial Intelligence. </w:t>
      </w:r>
    </w:p>
    <w:p>
      <w:pPr>
        <w:autoSpaceDN w:val="0"/>
        <w:tabs>
          <w:tab w:pos="2254" w:val="left"/>
        </w:tabs>
        <w:autoSpaceDE w:val="0"/>
        <w:widowControl/>
        <w:spacing w:line="230" w:lineRule="auto" w:before="162" w:after="0"/>
        <w:ind w:left="18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82" w:after="0"/>
        <w:ind w:left="58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world of internet, full of cyber-attacks, people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demands for the security of their data and expensive things.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era of the cyber world has many intruders which makes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internet vulnerable. This is the reason we need to secure cyber-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world from various kind of existent attacks can be caused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intruders. In search of identifying those intruders which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make the security networks vulnerable, we need to find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activities or several kinds of possible attacks on data, and then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we could prevent the data to being stolen. </w:t>
      </w:r>
    </w:p>
    <w:p>
      <w:pPr>
        <w:autoSpaceDN w:val="0"/>
        <w:autoSpaceDE w:val="0"/>
        <w:widowControl/>
        <w:spacing w:line="245" w:lineRule="auto" w:before="120" w:after="0"/>
        <w:ind w:left="58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basic necessity for the smart banking system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necessary for people to have trust in their account accessibility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security of their privacy. The SOBS works with lots of </w:t>
      </w:r>
    </w:p>
    <w:p>
      <w:pPr>
        <w:autoSpaceDN w:val="0"/>
        <w:autoSpaceDE w:val="0"/>
        <w:widowControl/>
        <w:spacing w:line="186" w:lineRule="exact" w:before="404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978-1-7281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-</w:t>
      </w:r>
      <w:r>
        <w:rPr>
          <w:rFonts w:ascii="TimesNewRoman" w:hAnsi="TimesNewRoman" w:eastAsia="TimesNewRoman"/>
          <w:b w:val="0"/>
          <w:i w:val="0"/>
          <w:color w:val="333333"/>
          <w:sz w:val="16"/>
        </w:rPr>
        <w:t>4772-7/20/</w:t>
      </w:r>
      <w:r>
        <w:rPr>
          <w:rFonts w:ascii="Helvetica" w:hAnsi="Helvetica" w:eastAsia="Helvetica"/>
          <w:b w:val="0"/>
          <w:i w:val="0"/>
          <w:color w:val="333333"/>
          <w:sz w:val="16"/>
        </w:rPr>
        <w:t>$</w:t>
      </w:r>
      <w:r>
        <w:rPr>
          <w:rFonts w:ascii="TimesNewRoman" w:hAnsi="TimesNewRoman" w:eastAsia="TimesNewRoman"/>
          <w:b w:val="0"/>
          <w:i w:val="0"/>
          <w:color w:val="333333"/>
          <w:sz w:val="16"/>
        </w:rPr>
        <w:t xml:space="preserve">31.00 </w:t>
      </w:r>
      <w:r>
        <w:rPr>
          <w:rFonts w:ascii="Helvetica" w:hAnsi="Helvetica" w:eastAsia="Helvetica"/>
          <w:b w:val="0"/>
          <w:i w:val="0"/>
          <w:color w:val="333333"/>
          <w:sz w:val="16"/>
        </w:rPr>
        <w:t>©</w:t>
      </w:r>
      <w:r>
        <w:rPr>
          <w:rFonts w:ascii="TimesNewRoman" w:hAnsi="TimesNewRoman" w:eastAsia="TimesNewRoman"/>
          <w:b w:val="0"/>
          <w:i w:val="0"/>
          <w:color w:val="333333"/>
          <w:sz w:val="16"/>
        </w:rPr>
        <w:t>2020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IEEE</w:t>
      </w:r>
    </w:p>
    <w:p>
      <w:pPr>
        <w:sectPr>
          <w:type w:val="continuous"/>
          <w:pgSz w:w="11904" w:h="16840"/>
          <w:pgMar w:top="548" w:right="658" w:bottom="198" w:left="676" w:header="720" w:footer="720" w:gutter="0"/>
          <w:cols w:num="2" w:equalWidth="0">
            <w:col w:w="5304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various ideologies; sometimes it is very huge to secure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large data spaces in the cyber from huge numbers of cyber-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attacks. Many intruders are there to attack the user’s account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it is very vulnerable to detect the cyber-crime which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happening to the user’s account. The environment of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working system includes the One Time Password (OTP)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generated by the network, which could be provided to the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acknowledging the legitimacy of a user’s mobile number. </w:t>
      </w:r>
    </w:p>
    <w:p>
      <w:pPr>
        <w:autoSpaceDN w:val="0"/>
        <w:autoSpaceDE w:val="0"/>
        <w:widowControl/>
        <w:spacing w:line="240" w:lineRule="exact" w:before="120" w:after="0"/>
        <w:ind w:left="15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biometric system recognizes using a precise physiological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behavioural attribute possessed by a person. This is called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biometric, identification and verification system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depends on the application in which it is used [6].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verification system measures by comparing the biometric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properties of its test with the biometric pattern stored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database, while an identification system identifies each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probing the whole database to match it. </w:t>
      </w:r>
    </w:p>
    <w:p>
      <w:pPr>
        <w:autoSpaceDN w:val="0"/>
        <w:autoSpaceDE w:val="0"/>
        <w:widowControl/>
        <w:spacing w:line="222" w:lineRule="exact" w:before="8" w:after="0"/>
        <w:ind w:left="154" w:right="20" w:firstLine="28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Physiological biometrics combines fingerprint, face, hand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geometry, palm print, etc. whereas behavioural biometrics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includes signature, speech, gesture, and so on. A biometric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manner must meet properties such as distinctiveness,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universality, collectability, and permeability, to be used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biometric system.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Dependency on the internet world and easy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 to their debit and credit card details via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system is becoming a threat for people these days. It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created many account hackers, unknown transactions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user's account and many more threats have been generated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facilities provided by the cyber world [1, 2]. </w:t>
      </w:r>
    </w:p>
    <w:p>
      <w:pPr>
        <w:autoSpaceDN w:val="0"/>
        <w:tabs>
          <w:tab w:pos="442" w:val="left"/>
          <w:tab w:pos="864" w:val="left"/>
          <w:tab w:pos="1320" w:val="left"/>
          <w:tab w:pos="2330" w:val="left"/>
          <w:tab w:pos="3114" w:val="left"/>
          <w:tab w:pos="4746" w:val="left"/>
        </w:tabs>
        <w:autoSpaceDE w:val="0"/>
        <w:widowControl/>
        <w:spacing w:line="245" w:lineRule="auto" w:before="118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number of intrusion detections has been cured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abundant types of attacks are there to being secured. Cyber-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attacks/cyber-crimes made by an intruder such as phishing,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scamming, fraud &amp; identity stealing crimes, virtual crimes,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threat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computer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hacker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groups/organized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crime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groups/terrorist groups, money-evasion, and so on [17, 20]. </w:t>
      </w:r>
    </w:p>
    <w:p>
      <w:pPr>
        <w:autoSpaceDN w:val="0"/>
        <w:autoSpaceDE w:val="0"/>
        <w:widowControl/>
        <w:spacing w:line="245" w:lineRule="auto" w:before="118" w:after="216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paper proposing the security risk model for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system introduces inline biometric techniques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prevent the account of a customer. It helps to detect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unexpected trials for the transaction which is occurring to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account without their prior knowledge and prevent their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securely as it will need techniques from biometric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technology, for example, digital signature, face recognition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fingerprints. These techniques help any person to operate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 who is not educated enough to operate any technology,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but these techniques help them to prevent their ac them to </w:t>
      </w:r>
    </w:p>
    <w:p>
      <w:pPr>
        <w:sectPr>
          <w:type w:val="nextColumn"/>
          <w:pgSz w:w="11904" w:h="16840"/>
          <w:pgMar w:top="548" w:right="658" w:bottom="198" w:left="676" w:header="720" w:footer="720" w:gutter="0"/>
          <w:cols w:num="2" w:equalWidth="0">
            <w:col w:w="5304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09:05:46 UTC from IEEE Xplore.  Restrictions apply. </w:t>
      </w:r>
    </w:p>
    <w:p>
      <w:pPr>
        <w:sectPr>
          <w:type w:val="continuous"/>
          <w:pgSz w:w="11904" w:h="16840"/>
          <w:pgMar w:top="548" w:right="658" w:bottom="198" w:left="6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5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prevent their account from intruders because it will need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physical presence of a person who owns the account. </w:t>
      </w:r>
    </w:p>
    <w:p>
      <w:pPr>
        <w:autoSpaceDN w:val="0"/>
        <w:autoSpaceDE w:val="0"/>
        <w:widowControl/>
        <w:spacing w:line="245" w:lineRule="auto" w:before="118" w:after="0"/>
        <w:ind w:left="16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will help to reduce the paperwork to operate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customer’s account, the transaction is hassle-free, and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easily accessible to their data more secure than ever. It prevents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many attacks such as impersonation attack, foreign key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attack, man-in-the-middle attack, denial-of-service attack,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distributed denial-of-service attack, eavesdropping attack,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password attack, phishing attack, spear-phishing attack, cross-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site scripting attack, zero-day exploit, and cyber-attack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prevention [18, 19]. </w:t>
      </w:r>
    </w:p>
    <w:p>
      <w:pPr>
        <w:autoSpaceDN w:val="0"/>
        <w:autoSpaceDE w:val="0"/>
        <w:widowControl/>
        <w:spacing w:line="245" w:lineRule="auto" w:before="118" w:after="0"/>
        <w:ind w:left="16" w:right="15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paper is designed in a way to explore new details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about the cyber-attacks and best possible techniques might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used to secure the account from the customer of any bank.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paper, seven different sections have been categorized. </w:t>
      </w:r>
    </w:p>
    <w:p>
      <w:pPr>
        <w:autoSpaceDN w:val="0"/>
        <w:tabs>
          <w:tab w:pos="2182" w:val="left"/>
        </w:tabs>
        <w:autoSpaceDE w:val="0"/>
        <w:widowControl/>
        <w:spacing w:line="233" w:lineRule="auto" w:before="168" w:after="0"/>
        <w:ind w:left="17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ELATED WORK</w:t>
      </w:r>
    </w:p>
    <w:p>
      <w:pPr>
        <w:autoSpaceDN w:val="0"/>
        <w:autoSpaceDE w:val="0"/>
        <w:widowControl/>
        <w:spacing w:line="245" w:lineRule="auto" w:before="86" w:after="0"/>
        <w:ind w:left="16" w:right="154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feature vector introduced by Tico, et al. consists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standard deviations of the Discrete Wavelet Transform (DWT)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coefficients of the whole image at different levels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familiarization. K-Nearest Neighbour classifier employing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Euclidean distance is used for matching. </w:t>
      </w:r>
    </w:p>
    <w:p>
      <w:pPr>
        <w:autoSpaceDN w:val="0"/>
        <w:autoSpaceDE w:val="0"/>
        <w:widowControl/>
        <w:spacing w:line="245" w:lineRule="auto" w:before="0" w:after="0"/>
        <w:ind w:left="16" w:right="15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Many intruder attackers are sitting to seek for the leniency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customer of the bank. The more safe banking system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there, more customers will feel free to use online banking.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Junho Lee, Jungwoon Woo et.al. [3], introduced a technology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providing them with the application by giving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methodology for developing software in terms to create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secure web. It does not have OOAD methodology, UMLsec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Java EE, to maintain the database and to associate it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correlate. </w:t>
      </w:r>
    </w:p>
    <w:p>
      <w:pPr>
        <w:autoSpaceDN w:val="0"/>
        <w:autoSpaceDE w:val="0"/>
        <w:widowControl/>
        <w:spacing w:line="245" w:lineRule="auto" w:before="116" w:after="0"/>
        <w:ind w:left="16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malware threats and security solutions Wazid,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Zeadally and Das [4] discussed the need for mobile banking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every possible attack which could be occurred while using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mobile banking system. They have shown their work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mobile banking, its limitations and its improvements but there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no model to secure it. </w:t>
      </w:r>
    </w:p>
    <w:p>
      <w:pPr>
        <w:autoSpaceDN w:val="0"/>
        <w:autoSpaceDE w:val="0"/>
        <w:widowControl/>
        <w:spacing w:line="245" w:lineRule="auto" w:before="116" w:after="0"/>
        <w:ind w:left="16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Similarly, R. Bose, S. Chakraborty and S. Roy [5]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explained the working principle based on multi-factors of cloud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architecture for banking system by using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biometric fingerprint authentication by using USB to make sure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data is authentic. Even they have established a secure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safe VPN connectivity but failed to prevent the data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cyber-attacks. </w:t>
      </w:r>
    </w:p>
    <w:p>
      <w:pPr>
        <w:autoSpaceDN w:val="0"/>
        <w:autoSpaceDE w:val="0"/>
        <w:widowControl/>
        <w:spacing w:line="245" w:lineRule="auto" w:before="118" w:after="0"/>
        <w:ind w:left="16" w:right="156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papers [6, 7, 15], proposed an authentic environment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user’s credentials of bank and cloud server but these are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secure enough to prevent customer’s data from the severe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cyber –attacks such as phishing and pharming is possible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threaten the data of the customer, whereas this [8], presented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results of several kinds of targeted attack over the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banking system. </w:t>
      </w:r>
    </w:p>
    <w:p>
      <w:pPr>
        <w:autoSpaceDN w:val="0"/>
        <w:tabs>
          <w:tab w:pos="304" w:val="left"/>
          <w:tab w:pos="1340" w:val="left"/>
          <w:tab w:pos="2314" w:val="left"/>
          <w:tab w:pos="2854" w:val="left"/>
          <w:tab w:pos="4066" w:val="left"/>
          <w:tab w:pos="4610" w:val="left"/>
        </w:tabs>
        <w:autoSpaceDE w:val="0"/>
        <w:widowControl/>
        <w:spacing w:line="245" w:lineRule="auto" w:before="118" w:after="0"/>
        <w:ind w:left="1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Limba, Pleta, et.al. [9], designed a model for cybersecurity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management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six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dimensions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communications within the organization, but it may not able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secure the dynamic plans may change or adapt by various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technologies. This assured that it could able to handle the initial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interoperable/moderate level of each dimension of the </w:t>
      </w:r>
    </w:p>
    <w:p>
      <w:pPr>
        <w:sectPr>
          <w:type w:val="continuous"/>
          <w:pgSz w:w="11904" w:h="16840"/>
          <w:pgMar w:top="538" w:right="658" w:bottom="198" w:left="718" w:header="720" w:footer="720" w:gutter="0"/>
          <w:cols w:num="2" w:equalWidth="0">
            <w:col w:w="5262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cybersecurity model for its management, but it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vulnerable for dynamic cyber-attacks. </w:t>
      </w:r>
    </w:p>
    <w:p>
      <w:pPr>
        <w:autoSpaceDN w:val="0"/>
        <w:autoSpaceDE w:val="0"/>
        <w:widowControl/>
        <w:spacing w:line="245" w:lineRule="auto" w:before="11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are various active attacks as well as passive attacks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exist which can make and user’s account vulnerable as well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secure from the attacker. Sundry researchers are working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the smart banking system, but still, there are a number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attacks needed to secure from the attackers [10-14]. </w:t>
      </w:r>
    </w:p>
    <w:p>
      <w:pPr>
        <w:autoSpaceDN w:val="0"/>
        <w:tabs>
          <w:tab w:pos="2034" w:val="left"/>
        </w:tabs>
        <w:autoSpaceDE w:val="0"/>
        <w:widowControl/>
        <w:spacing w:line="230" w:lineRule="auto" w:before="166" w:after="0"/>
        <w:ind w:left="15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ROPOSED MECHANISM</w:t>
      </w:r>
    </w:p>
    <w:p>
      <w:pPr>
        <w:autoSpaceDN w:val="0"/>
        <w:autoSpaceDE w:val="0"/>
        <w:widowControl/>
        <w:spacing w:line="245" w:lineRule="auto" w:before="92" w:after="0"/>
        <w:ind w:left="154" w:right="2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Through this paper, we are proposing a multi-factor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model developed the throughput with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tolerated area to make the transaction more secure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biometrics section, where the Biometric section acts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multi-factor gateway as shown in Figure 1. It provides a face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recognition authentication (FRA), biometric fingerprint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(BFA).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32760" cy="18630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863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94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Fig. 1.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proposed Mechanism </w:t>
      </w:r>
    </w:p>
    <w:p>
      <w:pPr>
        <w:autoSpaceDN w:val="0"/>
        <w:autoSpaceDE w:val="0"/>
        <w:widowControl/>
        <w:spacing w:line="245" w:lineRule="auto" w:before="206" w:after="0"/>
        <w:ind w:left="154" w:right="20" w:firstLine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two techniques are working perfectly and providing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extreme authenticity for verification of the valid user, it makes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a single transaction transferred from one account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other, without any prior knowledge of the user. This proposed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model, not only making transaction secure enough as well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reliable system for the user, but it also provides mobile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operability for the user, it doesn’t matter where the user is,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he/she can operate their account by verifying their transaction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either from BFA or FRA, as shown in Figure 2. 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00070" cy="1965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110" w:after="240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Fig. 2.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Block diagram of Proposed Biometric BFA and FRA </w:t>
      </w:r>
    </w:p>
    <w:p>
      <w:pPr>
        <w:sectPr>
          <w:type w:val="nextColumn"/>
          <w:pgSz w:w="11904" w:h="16840"/>
          <w:pgMar w:top="538" w:right="658" w:bottom="198" w:left="718" w:header="720" w:footer="720" w:gutter="0"/>
          <w:cols w:num="2" w:equalWidth="0">
            <w:col w:w="5262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09:05:46 UTC from IEEE Xplore.  Restrictions apply. </w:t>
      </w:r>
    </w:p>
    <w:p>
      <w:pPr>
        <w:sectPr>
          <w:type w:val="continuous"/>
          <w:pgSz w:w="11904" w:h="16840"/>
          <w:pgMar w:top="538" w:right="65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sectPr>
          <w:pgSz w:w="11904" w:h="16840"/>
          <w:pgMar w:top="536" w:right="65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0" w:after="0"/>
        <w:ind w:left="16" w:right="152" w:firstLine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this model of the smart online banking system, FRA or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BFA will be used to take input to authenticate system’s model.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It helps to obtain an image for preprocessing through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fingerprints/face recognition/digital signature. The next step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will be the feature extraction, in this whatever the image has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been captured by the machine as input via preprocessing &amp;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image obtaining gateway. The received image will be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processed to SVM classifier or training classifier, which will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help to generate to make a decision, either to validate the user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reject it. The rejected input will as again to give input to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machine and accepted input will allow the user to handle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transaction of their account.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10" w:after="0"/>
        <w:ind w:left="16" w:right="152" w:firstLine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is how the proposed model will work and provide an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authenticated user to transact into the banking system.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Anything can be done smartly, there is no validation can deny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BFA or FRA. These are the most renowned technologies which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enhance the security of the transaction. This also helps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existing banking system more secure than the existing online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banking system.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8" w:after="0"/>
        <w:ind w:left="16" w:right="156" w:firstLine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act of CNN as the extractor of feature and the dense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layer which consisted output from the image extractor, which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helps to provide input to the SVM that classify the object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presence, within the proposal of candidate region. Additionally,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predict the object's presence, this proposed algorithm will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increase the bounding box’s prediction that helps to produce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et value to extract the precise data of the user.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6" w:after="0"/>
        <w:ind w:left="16" w:right="154" w:firstLine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benefits of CNN, comparatively, to its antecedents that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robotically to detect the vital features without taking any help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human expertise or human’s supervision. The major steps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have been explained by Figure 2, diagrammatically. It includes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Preprocessing &amp; Image Obtaining, Feature Extraction with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help of Neural Networking or features of Region-Based with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Convolution Neural Networking (R-CNNs) helps to detect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object which could be applicable to the deep models, Features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Extraction, and Verification.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tabs>
          <w:tab w:pos="288" w:val="left"/>
          <w:tab w:pos="376" w:val="left"/>
          <w:tab w:pos="648" w:val="left"/>
        </w:tabs>
        <w:autoSpaceDE w:val="0"/>
        <w:widowControl/>
        <w:spacing w:line="245" w:lineRule="auto" w:before="10" w:after="0"/>
        <w:ind w:left="1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R-CNNs model, select various existed regions from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image for e.g. Anchor box, bounding box, their categories 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labelling such as offsets, etc. after selecting from the image,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they use CNN for forwarding computation that helps to extract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features from the given area. Later, the feature of each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proposed region predicts the category of labelling as well as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bounding box. Explicitly, R-CNNs composed four major parts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which 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ave been mentioned below: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br/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Selective Search: it is performed on the received input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image. It helps to select the multiple high-quality from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proposed regions, which help to select the image on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multiple scales includes variants of sizes and shapes.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10" w:after="0"/>
        <w:ind w:left="648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makes to the label on proposed-region of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category as well as a ground-truth bounding box.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6" w:after="0"/>
        <w:ind w:left="648" w:right="154" w:hanging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ii)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Pre-trained CNN: it selects and places the in-truncated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form before the proposed region’s output layer. It helps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transform it into the required input dimensions by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network. It uses the forward computation to provide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output of feature extraction from each proposed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region.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6" w:after="0"/>
        <w:ind w:left="648" w:right="144" w:hanging="27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iii)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Featured &amp; Labeled Category: it combines the each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proposed regions to set an example that helps to train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sectPr>
          <w:type w:val="continuous"/>
          <w:pgSz w:w="11904" w:h="16840"/>
          <w:pgMar w:top="536" w:right="658" w:bottom="198" w:left="718" w:header="720" w:footer="720" w:gutter="0"/>
          <w:cols w:num="2" w:equalWidth="0">
            <w:col w:w="5262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0" w:after="0"/>
        <w:ind w:left="786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multiple Support Vector Machines. It helps 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determine the example is belonged to a certain category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not.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8" w:after="0"/>
        <w:ind w:left="786" w:right="20" w:hanging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iv)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Featured &amp; Labeled Bounding Box: it combines 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each proposed regions to set an example that helps 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train a Linear Regression Model for granted-truth for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predicting Bounding Box.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tabs>
          <w:tab w:pos="1716" w:val="left"/>
        </w:tabs>
        <w:autoSpaceDE w:val="0"/>
        <w:widowControl/>
        <w:spacing w:line="230" w:lineRule="auto" w:before="170" w:after="0"/>
        <w:ind w:left="12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BASIC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ATHEMATICAL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ODEL</w:t>
      </w:r>
    </w:p>
    <w:p>
      <w:pPr>
        <w:autoSpaceDN w:val="0"/>
        <w:tabs>
          <w:tab w:pos="442" w:val="left"/>
        </w:tabs>
        <w:autoSpaceDE w:val="0"/>
        <w:widowControl/>
        <w:spacing w:line="245" w:lineRule="auto" w:before="82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proposed mathematical model as per CNN’s major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parts, as mentioned below: </w:t>
      </w:r>
    </w:p>
    <w:p>
      <w:pPr>
        <w:autoSpaceDN w:val="0"/>
        <w:autoSpaceDE w:val="0"/>
        <w:widowControl/>
        <w:spacing w:line="245" w:lineRule="auto" w:before="118" w:after="0"/>
        <w:ind w:left="862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Fast R-CNN Model: this uses the complete image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CNN input for the process of feature extraction, rather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the proposed region. Furthermore, the network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trains to update parameters of the model as the input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whole image, then CNN output will generate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output of CNN as shape (1*c*h1*w11*c*h1*w1). </w:t>
      </w:r>
    </w:p>
    <w:p>
      <w:pPr>
        <w:autoSpaceDN w:val="0"/>
        <w:autoSpaceDE w:val="0"/>
        <w:widowControl/>
        <w:spacing w:line="245" w:lineRule="auto" w:before="116" w:after="0"/>
        <w:ind w:left="862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b)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Assuming Selective Search: it generates the 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proposed regions, which have a different shape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indicate particular Regions of Interests (ROIs).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shapes and sizes will have differed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similar shapes and similar shapes must be extracted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existed ROIs. (Let us assume the height = h2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width = w2). </w:t>
      </w:r>
    </w:p>
    <w:p>
      <w:pPr>
        <w:autoSpaceDN w:val="0"/>
        <w:autoSpaceDE w:val="0"/>
        <w:widowControl/>
        <w:spacing w:line="245" w:lineRule="auto" w:before="118" w:after="0"/>
        <w:ind w:left="862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Completely Connected Layer: it is used to change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shape of the output to n*dn*d (d= model design will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 this d). </w:t>
      </w:r>
    </w:p>
    <w:p>
      <w:pPr>
        <w:autoSpaceDN w:val="0"/>
        <w:autoSpaceDE w:val="0"/>
        <w:widowControl/>
        <w:spacing w:line="245" w:lineRule="auto" w:before="118" w:after="0"/>
        <w:ind w:left="862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Category Prediction: during this process, the shape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will be the completely connected layer to its output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which is transformed again into n*qn*q. we use soft-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max regression for this, where q is the number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category. During the time of this bounding box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prediction, the entire connected layer’s shape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output will be transformed again into n*4n*4. 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means that it helps us to predict the category as well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bounding box for existed proposed region. </w:t>
      </w:r>
    </w:p>
    <w:p>
      <w:pPr>
        <w:autoSpaceDN w:val="0"/>
        <w:tabs>
          <w:tab w:pos="2400" w:val="left"/>
        </w:tabs>
        <w:autoSpaceDE w:val="0"/>
        <w:widowControl/>
        <w:spacing w:line="230" w:lineRule="auto" w:before="168" w:after="0"/>
        <w:ind w:left="19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VERIFICATION</w:t>
      </w:r>
    </w:p>
    <w:p>
      <w:pPr>
        <w:autoSpaceDN w:val="0"/>
        <w:autoSpaceDE w:val="0"/>
        <w:widowControl/>
        <w:spacing w:line="245" w:lineRule="auto" w:before="88" w:after="0"/>
        <w:ind w:left="154" w:right="20" w:firstLine="27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function of Support Vector Machine is an extensively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used tool, especially in the technique for pattern recognition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area. It also makes to use the principle of Structural Risk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Minimization (SRM), which provides a good performance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field of non-linear patterns, especially in the concept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transform the input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vectors converted into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space of high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dimensional feature </w:t>
      </w:r>
      <w:r>
        <w:rPr>
          <w:shd w:val="clear" w:color="auto" w:fill="fafafa"/>
          <w:rFonts w:ascii="TimesNewRoman" w:hAnsi="TimesNewRoman" w:eastAsia="TimesNewRoman"/>
          <w:b w:val="0"/>
          <w:i w:val="0"/>
          <w:color w:val="000000"/>
          <w:sz w:val="20"/>
        </w:rPr>
        <w:t>with the help of kernel.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</w:t>
      </w:r>
    </w:p>
    <w:p>
      <w:pPr>
        <w:autoSpaceDN w:val="0"/>
        <w:tabs>
          <w:tab w:pos="442" w:val="left"/>
          <w:tab w:pos="1540" w:val="left"/>
          <w:tab w:pos="1548" w:val="left"/>
          <w:tab w:pos="2256" w:val="left"/>
          <w:tab w:pos="2706" w:val="left"/>
          <w:tab w:pos="2716" w:val="left"/>
          <w:tab w:pos="3992" w:val="left"/>
          <w:tab w:pos="4256" w:val="left"/>
          <w:tab w:pos="4900" w:val="left"/>
        </w:tabs>
        <w:autoSpaceDE w:val="0"/>
        <w:widowControl/>
        <w:spacing w:line="245" w:lineRule="auto" w:before="2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will be located to the optimal hyperplane for its linearly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separable data as well as it extends to its no-linearly separable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 with the help of mapping to the space of high dimensional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feature space. SVM has several applications such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authentication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biometric-based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text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categorization,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management,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bioinformatics,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digital signature, and so on. </w:t>
      </w:r>
    </w:p>
    <w:p>
      <w:pPr>
        <w:autoSpaceDN w:val="0"/>
        <w:autoSpaceDE w:val="0"/>
        <w:widowControl/>
        <w:spacing w:line="245" w:lineRule="auto" w:before="118" w:after="1896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principle on which SVMs is based i.e. Structural Risk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Minimization (SRM), which is based on the Statistical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Learning Theory (SRT). If you wish to know more about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SVM, then it is available in Vapnik20, Byun21 &amp; Lee.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LIBSVM22 has been used for the process of verification. We </w:t>
      </w:r>
    </w:p>
    <w:p>
      <w:pPr>
        <w:sectPr>
          <w:type w:val="nextColumn"/>
          <w:pgSz w:w="11904" w:h="16840"/>
          <w:pgMar w:top="536" w:right="658" w:bottom="198" w:left="718" w:header="720" w:footer="720" w:gutter="0"/>
          <w:cols w:num="2" w:equalWidth="0">
            <w:col w:w="5262" w:space="0"/>
            <w:col w:w="5265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09:05:46 UTC from IEEE Xplore.  Restrictions apply. </w:t>
      </w:r>
    </w:p>
    <w:p>
      <w:pPr>
        <w:sectPr>
          <w:type w:val="continuous"/>
          <w:pgSz w:w="11904" w:h="16840"/>
          <w:pgMar w:top="536" w:right="658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60" w:bottom="198" w:left="7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6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four built-in kernels at our removal, those are linear,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radial basis function, sigmoid and radial basis function. These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require SVM to turn such as another learning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 to find out optimal parameters, which provides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enhanced precision of the result on test data. Remaining three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kernels are used for this process. In this, each kernel will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five-fold-cross-validation process to perform on the existed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training set. Algorithmic ‘Grid Search’ is used to receive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such as γ and c. The values of γ and c are giving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best optimal average of the cross-validation for its precision,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are employed at the place of testing this process. </w:t>
      </w:r>
    </w:p>
    <w:p>
      <w:pPr>
        <w:autoSpaceDN w:val="0"/>
        <w:tabs>
          <w:tab w:pos="1888" w:val="left"/>
        </w:tabs>
        <w:autoSpaceDE w:val="0"/>
        <w:widowControl/>
        <w:spacing w:line="233" w:lineRule="auto" w:before="164" w:after="0"/>
        <w:ind w:left="13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EXPERIMENTAL RESULT</w:t>
      </w:r>
    </w:p>
    <w:p>
      <w:pPr>
        <w:autoSpaceDN w:val="0"/>
        <w:autoSpaceDE w:val="0"/>
        <w:widowControl/>
        <w:spacing w:line="233" w:lineRule="auto" w:before="17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ATASET</w:t>
      </w:r>
    </w:p>
    <w:p>
      <w:pPr>
        <w:autoSpaceDN w:val="0"/>
        <w:autoSpaceDE w:val="0"/>
        <w:widowControl/>
        <w:spacing w:line="240" w:lineRule="exact" w:before="82" w:after="0"/>
        <w:ind w:left="16" w:right="154" w:firstLine="2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Those databases which have benchmark FVC2002DB1B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[16], has been used for our experiments, which consist of ten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users with eight impressions for each of it. These databases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divided into the testing set as well as the training set,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training set has seven images of fingerprints and testing set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one image of fingerprints. Those images have been taken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size of 388*374, at 500 dpi resolution. </w:t>
      </w:r>
    </w:p>
    <w:p>
      <w:pPr>
        <w:autoSpaceDN w:val="0"/>
        <w:autoSpaceDE w:val="0"/>
        <w:widowControl/>
        <w:spacing w:line="230" w:lineRule="auto" w:before="198" w:after="0"/>
        <w:ind w:left="0" w:right="217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EXPERIMENTS</w:t>
      </w:r>
    </w:p>
    <w:p>
      <w:pPr>
        <w:autoSpaceDN w:val="0"/>
        <w:autoSpaceDE w:val="0"/>
        <w:widowControl/>
        <w:spacing w:line="245" w:lineRule="auto" w:before="90" w:after="0"/>
        <w:ind w:left="16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several fingerprints have been selected to train, to test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repeat the entire process for four times. This makes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experiments repetition for trials then it considered as its final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performance. Each and every set has features set, aside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verifying them through SVM process. The various window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size (w), has experimented on ROI, that makes it best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acquire the superlative result for a 5*5 window size of fuzzy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features, after of all this, on the invariant moments for a 16*16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window size. The entire features have been normalized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before the process to provide input to the SVM. </w:t>
      </w:r>
    </w:p>
    <w:p>
      <w:pPr>
        <w:autoSpaceDN w:val="0"/>
        <w:autoSpaceDE w:val="0"/>
        <w:widowControl/>
        <w:spacing w:line="230" w:lineRule="auto" w:before="120" w:after="0"/>
        <w:ind w:left="3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Each set of features is set aside for verification using SVM. </w:t>
      </w:r>
    </w:p>
    <w:p>
      <w:pPr>
        <w:autoSpaceDN w:val="0"/>
        <w:autoSpaceDE w:val="0"/>
        <w:widowControl/>
        <w:spacing w:line="245" w:lineRule="auto" w:before="118" w:after="170"/>
        <w:ind w:left="16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Different window sizes (W) have experimented on ROIs.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best results are obtained on fuzzy features for a window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size of 5x5 and on invariant moments for a window size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16x16. The features are normalised before inputting to SVM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2.0" w:type="dxa"/>
      </w:tblPr>
      <w:tblGrid>
        <w:gridCol w:w="5263"/>
        <w:gridCol w:w="5263"/>
      </w:tblGrid>
      <w:tr>
        <w:trPr>
          <w:trHeight w:hRule="exact" w:val="6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312" w:lineRule="auto" w:before="60" w:after="0"/>
              <w:ind w:left="2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TABLE I. </w:t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6"/>
              </w:rPr>
              <w:t xml:space="preserve">FVC2002 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8" w:val="left"/>
              </w:tabs>
              <w:autoSpaceDE w:val="0"/>
              <w:widowControl/>
              <w:spacing w:line="312" w:lineRule="auto" w:before="60" w:after="0"/>
              <w:ind w:left="216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CCURACY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ROPOSED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ETHOD</w:t>
            </w:r>
            <w:r>
              <w:tab/>
            </w:r>
            <w:r>
              <w:rPr>
                <w:rFonts w:ascii="TimesNewRoman,BoldItalic" w:hAnsi="TimesNewRoman,BoldItalic" w:eastAsia="TimesNewRoman,BoldItalic"/>
                <w:b/>
                <w:i/>
                <w:color w:val="000000"/>
                <w:sz w:val="16"/>
              </w:rPr>
              <w:t xml:space="preserve"> Accuracy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97" w:type="dxa"/>
      </w:tblPr>
      <w:tblGrid>
        <w:gridCol w:w="5263"/>
        <w:gridCol w:w="5263"/>
      </w:tblGrid>
      <w:tr>
        <w:trPr>
          <w:trHeight w:hRule="exact" w:val="780"/>
        </w:trPr>
        <w:tc>
          <w:tcPr>
            <w:tcW w:type="dxa" w:w="1420"/>
            <w:tcBorders>
              <w:top w:sz="4.0" w:val="single" w:color="#909090"/>
              <w:end w:sz="4.0" w:val="single" w:color="#90909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2" w:after="0"/>
              <w:ind w:left="1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Fuzzy features </w:t>
            </w:r>
            <w:r>
              <w:br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Invariant moment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features </w:t>
            </w:r>
          </w:p>
        </w:tc>
        <w:tc>
          <w:tcPr>
            <w:tcW w:type="dxa" w:w="3402"/>
            <w:tcBorders>
              <w:start w:sz="4.0" w:val="single" w:color="#909090"/>
              <w:top w:sz="4.0" w:val="single" w:color="#90909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1134"/>
              <w:gridCol w:w="1134"/>
              <w:gridCol w:w="1134"/>
            </w:tblGrid>
            <w:tr>
              <w:trPr>
                <w:trHeight w:hRule="exact" w:val="182"/>
              </w:trPr>
              <w:tc>
                <w:tcPr>
                  <w:tcW w:type="dxa" w:w="886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0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Linear </w:t>
                  </w:r>
                </w:p>
              </w:tc>
              <w:tc>
                <w:tcPr>
                  <w:tcW w:type="dxa" w:w="1480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34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BFA and FRA </w:t>
                  </w:r>
                </w:p>
              </w:tc>
              <w:tc>
                <w:tcPr>
                  <w:tcW w:type="dxa" w:w="1036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8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Polynomial </w:t>
                  </w:r>
                </w:p>
              </w:tc>
            </w:tr>
            <w:tr>
              <w:trPr>
                <w:trHeight w:hRule="exact" w:val="222"/>
              </w:trPr>
              <w:tc>
                <w:tcPr>
                  <w:tcW w:type="dxa" w:w="88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0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74.8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34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87.6 </w:t>
                  </w:r>
                </w:p>
              </w:tc>
              <w:tc>
                <w:tcPr>
                  <w:tcW w:type="dxa" w:w="103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18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77.6 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886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92.4 </w:t>
                  </w:r>
                </w:p>
              </w:tc>
              <w:tc>
                <w:tcPr>
                  <w:tcW w:type="dxa" w:w="1480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348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95.1 </w:t>
                  </w:r>
                </w:p>
              </w:tc>
              <w:tc>
                <w:tcPr>
                  <w:tcW w:type="dxa" w:w="1036"/>
                  <w:tcBorders/>
                  <w:shd w:fill="f4f4f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8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 xml:space="preserve">90.1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378" w:after="0"/>
        <w:ind w:left="0" w:right="19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VII.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45" w:lineRule="auto" w:before="80" w:after="0"/>
        <w:ind w:left="16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Thus, the models and methods proposed in the work allow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construct effective mechanisms for the protection of cyber-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security in banking system at the canonical, logical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physical levels of their representation, providing access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admission to the content of their data to only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appropriate user authority and establishing rules for user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interaction with information resources according to the criteria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optimal, consistent with the requirements. This gives the </w:t>
      </w:r>
    </w:p>
    <w:p>
      <w:pPr>
        <w:sectPr>
          <w:type w:val="continuous"/>
          <w:pgSz w:w="11904" w:h="16840"/>
          <w:pgMar w:top="538" w:right="660" w:bottom="198" w:left="718" w:header="720" w:footer="720" w:gutter="0"/>
          <w:cols w:num="2" w:equalWidth="0">
            <w:col w:w="5262" w:space="0"/>
            <w:col w:w="526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best possible architecture to access with ease and most secure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way to save their data from different intruders. Future research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includes to secure this model from different unknown attacks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make it more feasible to the users. </w:t>
      </w:r>
    </w:p>
    <w:p>
      <w:pPr>
        <w:autoSpaceDN w:val="0"/>
        <w:autoSpaceDE w:val="0"/>
        <w:widowControl/>
        <w:spacing w:line="230" w:lineRule="auto" w:before="166" w:after="0"/>
        <w:ind w:left="0" w:right="20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30" w:lineRule="auto" w:before="86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Taylor, Robert W., et al. "Cybercrime and cyber terrorism." 2019.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56" w:after="2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Umanailo, M. Chairul Basrun, et al. "Cybercrime Case as Impact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754"/>
        <w:gridCol w:w="1754"/>
        <w:gridCol w:w="1754"/>
        <w:gridCol w:w="1754"/>
        <w:gridCol w:w="1754"/>
        <w:gridCol w:w="1754"/>
      </w:tblGrid>
      <w:tr>
        <w:trPr>
          <w:trHeight w:hRule="exact" w:val="16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Development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Communication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Technology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Troubling </w:t>
            </w:r>
          </w:p>
        </w:tc>
      </w:tr>
      <w:tr>
        <w:trPr>
          <w:trHeight w:hRule="exact" w:val="218"/>
        </w:trPr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Society."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Int. J. Sci. Technol. Res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8.9. 2019, pp. 1224-1228. </w:t>
            </w:r>
          </w:p>
        </w:tc>
        <w:tc>
          <w:tcPr>
            <w:tcW w:type="dxa" w:w="17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8" w:after="0"/>
        <w:ind w:left="514" w:right="3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Lee, Junho, et al. "A Software Development Methodology for Secure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Web Application."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International Journal on Advanced Science,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Engineering and Information Technology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9.1. 2019, pp. 336-341. </w:t>
      </w:r>
    </w:p>
    <w:p>
      <w:pPr>
        <w:autoSpaceDN w:val="0"/>
        <w:autoSpaceDE w:val="0"/>
        <w:widowControl/>
        <w:spacing w:line="245" w:lineRule="auto" w:before="52" w:after="0"/>
        <w:ind w:left="514" w:right="28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Wazid, Mohammad, Sherali Zeadally, and Ashok Kumar Das. "Mobile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banking: evolution and threats: malware threats and security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solutions."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Consumer Electronics Magazine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8.2. 2019, pp. 56-60. </w:t>
      </w:r>
    </w:p>
    <w:p>
      <w:pPr>
        <w:autoSpaceDN w:val="0"/>
        <w:autoSpaceDE w:val="0"/>
        <w:widowControl/>
        <w:spacing w:line="245" w:lineRule="auto" w:before="54" w:after="0"/>
        <w:ind w:left="514" w:right="3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Bose, Rajesh, Srabanti Chakraborty, and Sandip Roy. "Explaining the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Workings Principle of Cloud-based Multi-factor Authentication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Architecture on Banking Sectors."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2019 Amity International Conference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on Artificial Intelligence (AICAI)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IEEE, 2019. </w:t>
      </w:r>
    </w:p>
    <w:p>
      <w:pPr>
        <w:autoSpaceDN w:val="0"/>
        <w:autoSpaceDE w:val="0"/>
        <w:widowControl/>
        <w:spacing w:line="245" w:lineRule="auto" w:before="54" w:after="0"/>
        <w:ind w:left="514" w:right="28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Ronchi, Corrado, et al. "Security, privacy and efficiency of internet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banking transactions."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2011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World Congress on Internet Security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(WorldCIS-2011)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. IEEE, 2011.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Hole, Kjell Jørgen, Vebjørn Moen, and Thomas Tjostheim. "Case study: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Online banking security."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Security &amp; Privacy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4.2. 2006, pp. 14-20.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56" w:after="0"/>
        <w:ind w:left="514" w:right="28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Correia, Márcio AS, et al. "Segurança em internet banking." XIII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Simposio Brasileiro em Seguranca da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Informacao e Sistemas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Computacionais (SBseg), Gramado-RS. 2008.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514" w:val="left"/>
        </w:tabs>
        <w:autoSpaceDE w:val="0"/>
        <w:widowControl/>
        <w:spacing w:line="245" w:lineRule="auto" w:before="56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[9]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Limba, Tadas, et 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. "Cybersecurity management model for critical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infrastructure", 2019.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514" w:val="left"/>
          <w:tab w:pos="1438" w:val="left"/>
          <w:tab w:pos="1786" w:val="left"/>
          <w:tab w:pos="2550" w:val="left"/>
          <w:tab w:pos="3564" w:val="left"/>
          <w:tab w:pos="4340" w:val="left"/>
        </w:tabs>
        <w:autoSpaceDE w:val="0"/>
        <w:widowControl/>
        <w:spacing w:line="245" w:lineRule="auto" w:before="52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[10]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Nami, M. R. "E-banking Issues and challenges: ACIS International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Conference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Software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Engineering,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Artificial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Intelligences,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Networking and Parallel."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Distributed Computing (SNPD),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2009.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Dandash, Osama, Phu Dung Le, and Bala Srinivasan. "Security analysis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for internet banking models." Eighth ACIS International Conference on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754"/>
        <w:gridCol w:w="1754"/>
        <w:gridCol w:w="1754"/>
        <w:gridCol w:w="1754"/>
        <w:gridCol w:w="1754"/>
        <w:gridCol w:w="1754"/>
      </w:tblGrid>
      <w:tr>
        <w:trPr>
          <w:trHeight w:hRule="exact" w:val="1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Software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Engineering,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Artificial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Intelligence,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Networking,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06"/>
        </w:trPr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Parallel/Distributed Computing (SNPD 2007). Vol. 3. IEEE, 2007. </w:t>
            </w:r>
          </w:p>
        </w:tc>
        <w:tc>
          <w:tcPr>
            <w:tcW w:type="dxa" w:w="17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6" w:after="0"/>
        <w:ind w:left="514" w:right="3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Peotta, Laerte, et al. "A formal classification of internet banking attacks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vulnerabilities."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International Journal of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Computer Science &amp;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Information Technology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3.1. 2011, pp. 186-197.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30" w:lineRule="auto" w:before="54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Nor, Fazli Bin Mat, and Kamarularifin Abd Jalil. "An enhanced remote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105"/>
        <w:gridCol w:w="2105"/>
        <w:gridCol w:w="2105"/>
        <w:gridCol w:w="2105"/>
        <w:gridCol w:w="2105"/>
      </w:tblGrid>
      <w:tr>
        <w:trPr>
          <w:trHeight w:hRule="exact" w:val="1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authentication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scheme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mitigate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man-in-the-browser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51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attacks."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Proceedings Title: 2012 International Conference on Cyber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Security, Cyber Warfare and Digital Forensic (CyberSec)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IEEE, 2012. </w:t>
      </w:r>
    </w:p>
    <w:p>
      <w:pPr>
        <w:autoSpaceDN w:val="0"/>
        <w:autoSpaceDE w:val="0"/>
        <w:widowControl/>
        <w:spacing w:line="245" w:lineRule="auto" w:before="56" w:after="0"/>
        <w:ind w:left="514" w:right="3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Nagaraju, Sabout, and Latha Parthiban. "Trusted framework for online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banking in public cloud using multi-factor authentication and privacy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protection gateway."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Journal of Cloud Computing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4.1. 2015. P. 22. </w:t>
      </w:r>
    </w:p>
    <w:p>
      <w:pPr>
        <w:autoSpaceDN w:val="0"/>
        <w:autoSpaceDE w:val="0"/>
        <w:widowControl/>
        <w:spacing w:line="230" w:lineRule="auto" w:before="54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Taylor, Robert W., et al. "Cybercrime and cyber terrorism." (2019).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514" w:val="left"/>
        </w:tabs>
        <w:autoSpaceDE w:val="0"/>
        <w:widowControl/>
        <w:spacing w:line="245" w:lineRule="auto" w:before="52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Kour, Jaspreet, M. Hanmandlu, and A. Q. Ans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ari. "Biometrics in Cyber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Security."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Defence Science Journal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66.6, 2016.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Nazarov, Aleksei Nikolaevich. "Estimation of the information safety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level of modern info-communication networks on the basis of the logic-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probability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approach. "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Automation and Remote Control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68.7. 2007, pp.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1165-1176.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54" w:after="0"/>
        <w:ind w:left="514" w:right="3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[18]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Nazarov, Alexey Nikolaevich, Xuan Tien Nguyen, and Minh Hai Tran.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"MODELING OF INFORMATION ATTACKS, AND SECURITY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RISK ASSESSMENT OBJE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CTS. Conference "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Information Society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Technologies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". Moscow, 2016.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514" w:val="left"/>
        </w:tabs>
        <w:autoSpaceDE w:val="0"/>
        <w:widowControl/>
        <w:spacing w:line="245" w:lineRule="auto" w:before="54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[19]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Kizza, Joseph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Migga.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Guide to computer network security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. London: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Springer, 2009.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56" w:after="2438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[20]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Wang, Huaqun, Debiao He, and Shaohua Tang. "Identity-based proxy-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oriented data uploading and remote data integrity checking in public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cloud."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IEEE Transa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ctions on Information Forensics and Security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11.6.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2016, pp. 1165-1176.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sectPr>
          <w:type w:val="nextColumn"/>
          <w:pgSz w:w="11904" w:h="16840"/>
          <w:pgMar w:top="538" w:right="660" w:bottom="198" w:left="718" w:header="720" w:footer="720" w:gutter="0"/>
          <w:cols w:num="2" w:equalWidth="0">
            <w:col w:w="5262" w:space="0"/>
            <w:col w:w="5264" w:space="0"/>
          </w:cols>
          <w:docGrid w:linePitch="360"/>
        </w:sectPr>
      </w:pPr>
    </w:p>
    <w:p>
      <w:pPr>
        <w:autoSpaceDN w:val="0"/>
        <w:autoSpaceDE w:val="0"/>
        <w:widowControl/>
        <w:spacing w:line="19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09:05:46 UTC from IEEE Xplore.  Restrictions apply. </w:t>
      </w:r>
    </w:p>
    <w:sectPr w:rsidR="00FC693F" w:rsidRPr="0006063C" w:rsidSect="00034616">
      <w:type w:val="continuous"/>
      <w:pgSz w:w="11904" w:h="16840"/>
      <w:pgMar w:top="538" w:right="660" w:bottom="198" w:left="7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