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IT Acceptable Use Policy</w:t>
      </w:r>
    </w:p>
    <w:p>
      <w:pPr>
        <w:spacing w:after="120"/>
      </w:pPr>
      <w:r>
        <w:t xml:space="preserve">Effective Date: January 1, 2026   |   Department: Information Technology   |   Applies to: All employees and contractors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policy sets expectations for the acceptable use of company-owned devices, networks, and software, and outlines the process for reporting security issues.</w:t>
      </w:r>
    </w:p>
    <w:p>
      <w:pPr>
        <w:pStyle w:val="Heading1"/>
        <w:spacing w:after="150" w:before="300"/>
      </w:pPr>
      <w:r>
        <w:t xml:space="preserve">2. Device &amp; Account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company laptops must have full-disk encryption enabled before first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must be at least 12 characters and rotated every 90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Multi-factor authentication (MFA) is mandatory for all cloud and email accounts.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Devices must auto-lock after 5 minutes of inactivity.</w:t>
      </w:r>
    </w:p>
    <w:p>
      <w:pPr>
        <w:pStyle w:val="Heading1"/>
        <w:spacing w:after="150" w:before="300"/>
      </w:pPr>
      <w:r>
        <w:t xml:space="preserve">3. Software &amp; Access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software installation requests must be submitted through the IT Service Desk portal.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software requests are processed within 2 business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Admin/local-admin access on company laptops is granted only with department head approval.</w:t>
      </w:r>
    </w:p>
    <w:p>
      <w:pPr>
        <w:pStyle w:val="Heading1"/>
        <w:spacing w:after="150" w:before="300"/>
      </w:pPr>
      <w:r>
        <w:t xml:space="preserve">4. Acceptable 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devices are for business use; incidental personal use is permitted if it does not interfere with work or violate other policies.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must not install unlicensed or pirated software on company devices.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Connecting personal USB storage devices to company laptops is prohibited without IT approval.</w:t>
      </w:r>
    </w:p>
    <w:p>
      <w:pPr>
        <w:pStyle w:val="Heading1"/>
        <w:spacing w:after="150" w:before="300"/>
      </w:pPr>
      <w:r>
        <w:t xml:space="preserve">5. Incident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Suspected phishing emails must be reported to security@company.com within 24 hours of receipt.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Lost or stolen devices must be reported to the IT Service Desk immediately, and no later than 4 hours after discovery.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average IT Service Desk response time for security incidents is 30 minutes.</w:t>
      </w:r>
    </w:p>
    <w:p>
      <w:pPr>
        <w:pStyle w:val="Heading1"/>
        <w:spacing w:after="150" w:before="300"/>
      </w:pPr>
      <w:r>
        <w:t xml:space="preserve">6. Remote Work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Remote access to internal systems requires VPN connection at all times.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Wi-Fi may only be used with VPN enabled; direct connections to internal systems over public Wi-Fi are prohibited.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2026-07-09T06:51:48.817Z</dcterms:created>
  <dcterms:modified xsi:type="dcterms:W3CDTF">2026-07-09T06:51:48.817Z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