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Leave &amp; Time-Off Policy</w:t>
      </w:r>
    </w:p>
    <w:p>
      <w:pPr>
        <w:spacing w:after="120"/>
      </w:pPr>
      <w:r>
        <w:t xml:space="preserve">Effective Date: January 1, 2026   |   Department: Human Resources   |   Applies to: All full-time employees</w:t>
      </w: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20"/>
      </w:pPr>
      <w:r>
        <w:t xml:space="preserve">This policy defines the paid leave entitlements available to full-time employees and the process for requesting time off.</w:t>
      </w:r>
    </w:p>
    <w:p>
      <w:pPr>
        <w:pStyle w:val="Heading1"/>
        <w:spacing w:after="150" w:before="300"/>
      </w:pPr>
      <w:r>
        <w:t xml:space="preserve">2. Annual Paid Leave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Full-time employees accrue 18 paid leave days per calendar year.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Leave accrues at a rate of 1.5 days per completed month of service.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maximum of 6 unused leave days may be carried forward into the next calendar year.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Leave requests must be submitted at least 5 working days in advance via the HR portal.</w:t>
      </w:r>
    </w:p>
    <w:p>
      <w:pPr>
        <w:pStyle w:val="Heading1"/>
        <w:spacing w:after="150" w:before="300"/>
      </w:pPr>
      <w:r>
        <w:t xml:space="preserve">3. Sick Leave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Employees are entitled to 12 paid sick leave days per year.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medical certificate is required for sick leave exceeding 2 consecutive days.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Unused sick leave does not carry forward and is not encashed.</w:t>
      </w:r>
    </w:p>
    <w:p>
      <w:pPr>
        <w:pStyle w:val="Heading1"/>
        <w:spacing w:after="150" w:before="300"/>
      </w:pPr>
      <w:r>
        <w:t xml:space="preserve">4. Maternity &amp; Paternity Leave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Maternity leave: 26 weeks of fully paid leave, in line with statutory requirements.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Paternity leave: 10 working days of fully paid leave, to be taken within 3 months of the child's birth.</w:t>
      </w:r>
    </w:p>
    <w:p>
      <w:pPr>
        <w:pStyle w:val="Heading1"/>
        <w:spacing w:after="150" w:before="300"/>
      </w:pPr>
      <w:r>
        <w:t xml:space="preserve">5. Bereavement Leave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Employees may take up to 5 paid days of bereavement leave for the death of an immediate family member.</w:t>
      </w:r>
    </w:p>
    <w:p>
      <w:pPr>
        <w:pStyle w:val="Heading1"/>
        <w:spacing w:after="150" w:before="300"/>
      </w:pPr>
      <w:r>
        <w:t xml:space="preserve">6. Unpaid Leave</w:t>
      </w:r>
    </w:p>
    <w:p>
      <w:pPr>
        <w:spacing w:after="120"/>
      </w:pPr>
      <w:r>
        <w:t xml:space="preserve">Employees may request unpaid leave of up to 30 days per year, subject to manager and HR approval, for personal reasons not covered by other leave categories.</w:t>
      </w:r>
    </w:p>
    <w:p>
      <w:pPr>
        <w:pStyle w:val="Heading1"/>
        <w:spacing w:after="150" w:before="300"/>
      </w:pPr>
      <w:r>
        <w:t xml:space="preserve">7. Approval Process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leave requests are submitted through the HR portal and require direct manager approval.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Leave exceeding 10 consecutive days additionally requires HR Business Partner sign-off.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Emergency leave may be approved retroactively within 48 hours of return.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2026-07-09T06:51:48.773Z</dcterms:created>
  <dcterms:modified xsi:type="dcterms:W3CDTF">2026-07-09T06:51:48.789Z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